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796"/>
        <w:gridCol w:w="6123"/>
        <w:gridCol w:w="848"/>
        <w:gridCol w:w="889"/>
      </w:tblGrid>
      <w:tr w:rsidR="006A5417" w:rsidRPr="006F0B2C" w14:paraId="595C68BD" w14:textId="77777777" w:rsidTr="00A7456D">
        <w:trPr>
          <w:jc w:val="center"/>
        </w:trPr>
        <w:tc>
          <w:tcPr>
            <w:tcW w:w="428" w:type="pct"/>
            <w:vAlign w:val="center"/>
          </w:tcPr>
          <w:p w14:paraId="25EBFD8C" w14:textId="77777777" w:rsidR="006A5417" w:rsidRPr="00CC6DC8" w:rsidRDefault="00B32B69" w:rsidP="00957C0E">
            <w:pPr>
              <w:tabs>
                <w:tab w:val="left" w:pos="6480"/>
              </w:tabs>
              <w:rPr>
                <w:lang w:val="de-DE"/>
              </w:rPr>
            </w:pPr>
            <w:bookmarkStart w:id="0" w:name="_GoBack" w:colFirst="2" w:colLast="2"/>
            <w:r>
              <w:rPr>
                <w:lang w:val="de-DE"/>
              </w:rPr>
              <w:t>Pos.</w:t>
            </w:r>
          </w:p>
        </w:tc>
        <w:tc>
          <w:tcPr>
            <w:tcW w:w="379" w:type="pct"/>
          </w:tcPr>
          <w:p w14:paraId="696AA0D9" w14:textId="77777777" w:rsidR="006A5417" w:rsidRPr="00C2277F" w:rsidRDefault="00B32B69" w:rsidP="00CC6DC8">
            <w:pPr>
              <w:pStyle w:val="ListParagraph"/>
              <w:ind w:left="246" w:hanging="246"/>
              <w:rPr>
                <w:lang w:val="sr-Latn-CS"/>
              </w:rPr>
            </w:pPr>
            <w:r>
              <w:rPr>
                <w:lang w:val="sr-Latn-CS"/>
              </w:rPr>
              <w:t>c</w:t>
            </w:r>
            <w:r w:rsidR="00A73BDA">
              <w:rPr>
                <w:lang w:val="sr-Latn-CS"/>
              </w:rPr>
              <w:t>u</w:t>
            </w:r>
            <w:r>
              <w:rPr>
                <w:lang w:val="sr-Latn-CS"/>
              </w:rPr>
              <w:t>ant</w:t>
            </w:r>
            <w:r w:rsidR="00CC6DC8">
              <w:rPr>
                <w:lang w:val="sr-Latn-CS"/>
              </w:rPr>
              <w:t>.</w:t>
            </w:r>
          </w:p>
        </w:tc>
        <w:tc>
          <w:tcPr>
            <w:tcW w:w="3281" w:type="pct"/>
            <w:vAlign w:val="center"/>
          </w:tcPr>
          <w:p w14:paraId="3AA99F7E" w14:textId="77777777" w:rsidR="006A5417" w:rsidRPr="00F83DDA" w:rsidRDefault="00A73BDA" w:rsidP="00393EB7">
            <w:pPr>
              <w:pStyle w:val="ListParagraph"/>
              <w:ind w:left="246" w:hanging="246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DESCRIÇÃO</w:t>
            </w:r>
          </w:p>
        </w:tc>
        <w:tc>
          <w:tcPr>
            <w:tcW w:w="396" w:type="pct"/>
            <w:vAlign w:val="center"/>
          </w:tcPr>
          <w:p w14:paraId="18586584" w14:textId="77777777" w:rsidR="00A73BDA" w:rsidRPr="00A73BDA" w:rsidRDefault="00A73BDA" w:rsidP="00A73BDA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sv-SE" w:eastAsia="es-ES"/>
              </w:rPr>
            </w:pPr>
            <w:r w:rsidRPr="00A73BDA">
              <w:rPr>
                <w:rFonts w:ascii="Arial" w:hAnsi="Arial" w:cs="Arial"/>
                <w:b/>
                <w:sz w:val="16"/>
                <w:szCs w:val="16"/>
                <w:lang w:val="sv-SE" w:eastAsia="es-ES"/>
              </w:rPr>
              <w:t>Preço/</w:t>
            </w:r>
          </w:p>
          <w:p w14:paraId="123B2A09" w14:textId="77777777" w:rsidR="006A5417" w:rsidRPr="006F0B2C" w:rsidRDefault="00A73BDA" w:rsidP="00A73BDA">
            <w:pPr>
              <w:tabs>
                <w:tab w:val="left" w:pos="6480"/>
              </w:tabs>
              <w:jc w:val="center"/>
              <w:rPr>
                <w:lang w:val="sr-Latn-CS"/>
              </w:rPr>
            </w:pPr>
            <w:r w:rsidRPr="00A73BDA">
              <w:rPr>
                <w:rFonts w:ascii="Arial" w:hAnsi="Arial" w:cs="Arial"/>
                <w:b/>
                <w:sz w:val="16"/>
                <w:szCs w:val="16"/>
                <w:lang w:val="sv-SE" w:eastAsia="es-ES"/>
              </w:rPr>
              <w:t>Unidade</w:t>
            </w:r>
          </w:p>
        </w:tc>
        <w:tc>
          <w:tcPr>
            <w:tcW w:w="516" w:type="pct"/>
            <w:vAlign w:val="center"/>
          </w:tcPr>
          <w:p w14:paraId="02C84DC6" w14:textId="77777777" w:rsidR="006A5417" w:rsidRPr="006F0B2C" w:rsidRDefault="00A73BDA" w:rsidP="00B32B69">
            <w:pPr>
              <w:tabs>
                <w:tab w:val="left" w:pos="6480"/>
              </w:tabs>
              <w:jc w:val="center"/>
              <w:rPr>
                <w:lang w:val="sr-Latn-CS"/>
              </w:rPr>
            </w:pPr>
            <w:r w:rsidRPr="00A73BDA">
              <w:rPr>
                <w:rFonts w:ascii="Arial" w:hAnsi="Arial" w:cs="Arial"/>
                <w:b/>
                <w:sz w:val="16"/>
                <w:szCs w:val="16"/>
                <w:lang w:val="sv-SE" w:eastAsia="es-ES"/>
              </w:rPr>
              <w:t xml:space="preserve">Preço/ </w:t>
            </w:r>
            <w:r w:rsidR="00B32B69">
              <w:rPr>
                <w:rFonts w:ascii="Arial" w:hAnsi="Arial" w:cs="Arial"/>
                <w:b/>
                <w:sz w:val="16"/>
                <w:szCs w:val="16"/>
                <w:lang w:val="sv-SE" w:eastAsia="es-ES"/>
              </w:rPr>
              <w:t>total</w:t>
            </w:r>
            <w:r w:rsidR="00B32B69" w:rsidRPr="006F0B2C">
              <w:rPr>
                <w:lang w:val="sr-Latn-CS"/>
              </w:rPr>
              <w:t xml:space="preserve"> </w:t>
            </w:r>
          </w:p>
        </w:tc>
      </w:tr>
      <w:tr w:rsidR="00D92C04" w:rsidRPr="00C53C16" w14:paraId="7DBDC1FC" w14:textId="77777777" w:rsidTr="00A7456D">
        <w:trPr>
          <w:trHeight w:val="557"/>
          <w:jc w:val="center"/>
        </w:trPr>
        <w:tc>
          <w:tcPr>
            <w:tcW w:w="428" w:type="pct"/>
          </w:tcPr>
          <w:p w14:paraId="492B0343" w14:textId="77777777" w:rsidR="00D92C04" w:rsidRPr="00355D09" w:rsidRDefault="00D92C04" w:rsidP="00957C0E">
            <w:pPr>
              <w:tabs>
                <w:tab w:val="left" w:pos="6480"/>
              </w:tabs>
              <w:rPr>
                <w:lang w:val="de-DE"/>
              </w:rPr>
            </w:pPr>
          </w:p>
        </w:tc>
        <w:tc>
          <w:tcPr>
            <w:tcW w:w="379" w:type="pct"/>
          </w:tcPr>
          <w:p w14:paraId="122901B3" w14:textId="77777777" w:rsidR="00D92C04" w:rsidRPr="00C53C16" w:rsidRDefault="00D92C04" w:rsidP="00992BDC">
            <w:pPr>
              <w:rPr>
                <w:rStyle w:val="hps"/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3281" w:type="pct"/>
            <w:vAlign w:val="center"/>
          </w:tcPr>
          <w:p w14:paraId="4A32FA22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222222"/>
                <w:sz w:val="22"/>
                <w:szCs w:val="22"/>
                <w:lang w:val="pt-PT"/>
              </w:rPr>
              <w:t>Agitador para tanque de arejamento</w:t>
            </w:r>
          </w:p>
          <w:p w14:paraId="20B2B67B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030F5525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222222"/>
                <w:sz w:val="22"/>
                <w:szCs w:val="22"/>
                <w:lang w:val="pt-PT"/>
              </w:rPr>
              <w:t>Tarefa</w:t>
            </w:r>
          </w:p>
          <w:p w14:paraId="7E42125A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Os sólidos (flocos de lama, lodo, fibras, areias, etc.) nas águas residuais tratadas devem ser mantidos em suspensão e a velocidade do líquido ao longo do tanque deve ter uma velocidade entre 0,20 e 0,30 m / s para evitar a sedimentação de sólidos.</w:t>
            </w:r>
          </w:p>
          <w:p w14:paraId="47C70374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38DC542E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Detalhes técnicos dos tanques</w:t>
            </w:r>
          </w:p>
          <w:p w14:paraId="779636C8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Lamas ativadas: 2 - 6 g / l de resíduo seco.</w:t>
            </w:r>
          </w:p>
          <w:p w14:paraId="58C0A133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Índice de volume de lama (IVL): 50 - 150 ml / g</w:t>
            </w:r>
          </w:p>
          <w:p w14:paraId="70F4F5D2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Número de tanques: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unidades</w:t>
            </w:r>
          </w:p>
          <w:p w14:paraId="00876065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A forma do tanque: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XXXXX</w:t>
            </w:r>
          </w:p>
          <w:p w14:paraId="6489B3C4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Dimensões: Comprimento: XX m / Largura: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m / Diâmetro =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m</w:t>
            </w:r>
          </w:p>
          <w:p w14:paraId="11C26570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Profundidade da água =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m</w:t>
            </w:r>
          </w:p>
          <w:p w14:paraId="69BA2299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Volume por tanque: aprox.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m3</w:t>
            </w:r>
          </w:p>
          <w:p w14:paraId="24CE282B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13E7B245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Para rever e garantir pelo licitante:</w:t>
            </w:r>
          </w:p>
          <w:p w14:paraId="3AAEC0D5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5D2874F5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Número de agitadores: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unidades por tanque</w:t>
            </w:r>
          </w:p>
          <w:p w14:paraId="741BC314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6817BB91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Diâmetro do hélice: 2,5 m</w:t>
            </w:r>
          </w:p>
          <w:p w14:paraId="718399B1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Gama de impulso: pelo menos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a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N (F)</w:t>
            </w:r>
          </w:p>
          <w:p w14:paraId="60AC0A58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4315B34D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Para minimizar o consumo de energia, será possível ajustar a velocidade e o impulso do hélice necessário durante a fase de Nitrificação e desnitrificação.</w:t>
            </w:r>
          </w:p>
          <w:p w14:paraId="328C68F1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4FA2A278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O agitador será equipado com um variador de frequência interno e uma interface RS485 + Modbus RTU que pode ser controlada através de um PLC.</w:t>
            </w:r>
          </w:p>
          <w:p w14:paraId="2D3FA2EC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7D59FC97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A utilização de um variador de frequência externo para modificar a velocidade da hélice é aceite se o custo estiver incluído no preço do Agitador.  </w:t>
            </w:r>
          </w:p>
          <w:p w14:paraId="003C2A4A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1F2F0F0F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222222"/>
                <w:sz w:val="22"/>
                <w:szCs w:val="22"/>
                <w:lang w:val="pt-PT"/>
              </w:rPr>
              <w:t>Desempenho necessário e consumo máximo de energia durante a Nitrificação (arejamento ativado):</w:t>
            </w:r>
          </w:p>
          <w:p w14:paraId="6B617270" w14:textId="77777777" w:rsidR="008F7221" w:rsidRPr="00F83DDA" w:rsidRDefault="008F7221" w:rsidP="008F7221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22"/>
                <w:szCs w:val="22"/>
                <w:lang w:val="pt-PT" w:eastAsia="de-DE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Velocidade do hélice: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</w:t>
            </w:r>
            <w:r w:rsidRPr="00F83DDA">
              <w:rPr>
                <w:rFonts w:ascii="Arial" w:hAnsi="Arial" w:cs="Arial"/>
                <w:spacing w:val="-2"/>
                <w:sz w:val="22"/>
                <w:szCs w:val="22"/>
                <w:lang w:val="pt-PT" w:eastAsia="de-DE"/>
              </w:rPr>
              <w:t>min</w:t>
            </w:r>
            <w:r w:rsidRPr="00F83DDA">
              <w:rPr>
                <w:rFonts w:ascii="Arial" w:hAnsi="Arial" w:cs="Arial"/>
                <w:spacing w:val="-2"/>
                <w:sz w:val="22"/>
                <w:szCs w:val="22"/>
                <w:vertAlign w:val="superscript"/>
                <w:lang w:val="pt-PT" w:eastAsia="de-DE"/>
              </w:rPr>
              <w:t>-1</w:t>
            </w:r>
          </w:p>
          <w:p w14:paraId="14701F90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Impulso garantido: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 xml:space="preserve">XXX 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N:</w:t>
            </w:r>
          </w:p>
          <w:p w14:paraId="2C7787F1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Consumo máx. de energia: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kW (P1)</w:t>
            </w:r>
          </w:p>
          <w:p w14:paraId="00A6FDF9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Impulso esp. vs. potência: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N / kW (F / P1) de acordo com ISO 21630</w:t>
            </w:r>
          </w:p>
          <w:p w14:paraId="2169EFA2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Consumo. específico de energia por m3: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W / m3 (P1 total / V)</w:t>
            </w:r>
          </w:p>
          <w:p w14:paraId="781AD9D7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</w:p>
          <w:p w14:paraId="3923F718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222222"/>
                <w:sz w:val="22"/>
                <w:szCs w:val="22"/>
                <w:lang w:val="pt-PT"/>
              </w:rPr>
              <w:t>Desempenho necessário e consumo máximo de energia durante a Desnitrificação (arejamento desativado):</w:t>
            </w:r>
          </w:p>
          <w:p w14:paraId="33CB17D4" w14:textId="77777777" w:rsidR="008F7221" w:rsidRPr="00F83DDA" w:rsidRDefault="008F7221" w:rsidP="008F7221">
            <w:pPr>
              <w:tabs>
                <w:tab w:val="left" w:pos="-720"/>
              </w:tabs>
              <w:jc w:val="both"/>
              <w:rPr>
                <w:rFonts w:ascii="Arial" w:hAnsi="Arial" w:cs="Arial"/>
                <w:spacing w:val="-2"/>
                <w:sz w:val="22"/>
                <w:szCs w:val="22"/>
                <w:lang w:val="pt-PT" w:eastAsia="de-DE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Velocidade do hélice: XX </w:t>
            </w:r>
            <w:r w:rsidRPr="00F83DDA">
              <w:rPr>
                <w:rFonts w:ascii="Arial" w:hAnsi="Arial" w:cs="Arial"/>
                <w:spacing w:val="-2"/>
                <w:sz w:val="22"/>
                <w:szCs w:val="22"/>
                <w:lang w:val="pt-PT" w:eastAsia="de-DE"/>
              </w:rPr>
              <w:t xml:space="preserve"> min</w:t>
            </w:r>
            <w:r w:rsidRPr="00F83DDA">
              <w:rPr>
                <w:rFonts w:ascii="Arial" w:hAnsi="Arial" w:cs="Arial"/>
                <w:spacing w:val="-2"/>
                <w:sz w:val="22"/>
                <w:szCs w:val="22"/>
                <w:vertAlign w:val="superscript"/>
                <w:lang w:val="pt-PT" w:eastAsia="de-DE"/>
              </w:rPr>
              <w:t>-1</w:t>
            </w:r>
          </w:p>
          <w:p w14:paraId="115DFE21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Impulso garantido: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 xml:space="preserve">XXX 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N:</w:t>
            </w:r>
          </w:p>
          <w:p w14:paraId="5DEAF0DB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Consumo máx. de energia: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kW (P1)</w:t>
            </w:r>
          </w:p>
          <w:p w14:paraId="1926FC98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Impulso específico vs. potência: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 xml:space="preserve">XXX 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>N / kW (F / P1) de acordo com ISO 21630</w:t>
            </w:r>
          </w:p>
          <w:p w14:paraId="07B51070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Consumo específico de energia por m3: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XX</w:t>
            </w: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 W/m3 (P1 total / V).</w:t>
            </w:r>
          </w:p>
          <w:p w14:paraId="48445B86" w14:textId="77777777" w:rsidR="00D92C04" w:rsidRPr="008F7221" w:rsidRDefault="00D92C04" w:rsidP="00992BDC">
            <w:pPr>
              <w:rPr>
                <w:rStyle w:val="hps"/>
                <w:rFonts w:ascii="Arial" w:hAnsi="Arial" w:cs="Arial"/>
                <w:bCs/>
                <w:noProof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0177FE6C" w14:textId="77777777" w:rsidR="00D92C04" w:rsidRPr="00C53C16" w:rsidRDefault="00D92C04" w:rsidP="00393EB7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</w:p>
        </w:tc>
        <w:tc>
          <w:tcPr>
            <w:tcW w:w="516" w:type="pct"/>
          </w:tcPr>
          <w:p w14:paraId="7368276F" w14:textId="77777777" w:rsidR="00D92C04" w:rsidRPr="00C53C16" w:rsidRDefault="00D92C04" w:rsidP="00393EB7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</w:p>
        </w:tc>
      </w:tr>
      <w:tr w:rsidR="006A5417" w:rsidRPr="00C53C16" w14:paraId="0BF75375" w14:textId="77777777" w:rsidTr="00A7456D">
        <w:trPr>
          <w:trHeight w:val="557"/>
          <w:jc w:val="center"/>
        </w:trPr>
        <w:tc>
          <w:tcPr>
            <w:tcW w:w="428" w:type="pct"/>
          </w:tcPr>
          <w:p w14:paraId="73C7E53E" w14:textId="77777777" w:rsidR="006A5417" w:rsidRPr="00355D09" w:rsidRDefault="006A5417" w:rsidP="00D53810">
            <w:pPr>
              <w:tabs>
                <w:tab w:val="left" w:pos="6480"/>
              </w:tabs>
              <w:rPr>
                <w:lang w:val="de-DE"/>
              </w:rPr>
            </w:pPr>
            <w:r>
              <w:rPr>
                <w:lang w:val="sr-Latn-RS"/>
              </w:rPr>
              <w:t>1</w:t>
            </w:r>
            <w:r w:rsidRPr="006F0B2C">
              <w:t>.</w:t>
            </w:r>
            <w:r>
              <w:rPr>
                <w:lang w:val="de-DE"/>
              </w:rPr>
              <w:t>01</w:t>
            </w:r>
          </w:p>
        </w:tc>
        <w:tc>
          <w:tcPr>
            <w:tcW w:w="379" w:type="pct"/>
          </w:tcPr>
          <w:p w14:paraId="56B26FBC" w14:textId="77777777" w:rsidR="006A5417" w:rsidRPr="00C53C16" w:rsidRDefault="002275B5" w:rsidP="00547963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  <w:vAlign w:val="center"/>
          </w:tcPr>
          <w:p w14:paraId="16757503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 Agitador deve ser capaz de manusear esgotos brutos e crivados. Deve ser possível levantar e baixar facilmente a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lastRenderedPageBreak/>
              <w:t xml:space="preserve">misturadora num sistema de barra guia de 100x100 mm sem a necessidade de pessoal para entrar no tanque. </w:t>
            </w:r>
          </w:p>
          <w:p w14:paraId="3316B547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O agitador, o motor e o cabo, deve ser capaz de submergir continuamente sem perda de integridade estanque a uma profundidade de 20 m, de acordo com a IP 68.</w:t>
            </w:r>
          </w:p>
          <w:p w14:paraId="09353FAF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5AD8DCB6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Potência nominal P2:&gt; = </w:t>
            </w:r>
            <w:r w:rsidRPr="008F7221"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  <w:t>X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kW</w:t>
            </w:r>
          </w:p>
          <w:p w14:paraId="4C981E8A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Classe de eficiência do motor. IE4</w:t>
            </w:r>
          </w:p>
          <w:p w14:paraId="02D8679B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Será possível operar o agitador em 380-480V a 50 ou 60Hz.</w:t>
            </w:r>
          </w:p>
          <w:p w14:paraId="430B661F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Método de arranque: velocidade progressiva com corrente reduzida.</w:t>
            </w:r>
          </w:p>
          <w:p w14:paraId="275991AD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32365F3C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sz w:val="22"/>
                <w:szCs w:val="22"/>
                <w:lang w:val="pt-PT"/>
              </w:rPr>
              <w:t>Motor e transmissão</w:t>
            </w:r>
          </w:p>
          <w:p w14:paraId="6AF03BEA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O agitador terá um motor síncrono de alta eficiência com variação de velocidade integrada, alojado numa câmara selada à prova de água. A eficiência do motor será equivalente aos níveis do IE4. A velocidade do veio será ajustável através de um gateway com sinais Modbus RTU / TCP 4-2m0 mA.</w:t>
            </w:r>
          </w:p>
          <w:p w14:paraId="1D3765EA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714D76AE" w14:textId="77777777" w:rsidR="008F7221" w:rsidRPr="008F7221" w:rsidRDefault="008F7221" w:rsidP="008F72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222222"/>
                <w:sz w:val="22"/>
                <w:szCs w:val="22"/>
                <w:lang w:val="pt-PT"/>
              </w:rPr>
              <w:t xml:space="preserve">A utilização de um variador de frequência externo para modificar a velocidade da hélice é aceite se o custo estiver incluído no preço do Agitador.  </w:t>
            </w:r>
          </w:p>
          <w:p w14:paraId="43CEE5A6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734CF5A2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O drive controlará a temperatura e a corrente e parará o agitador em caso de sobrecarga. O estator deve ter uma classificação de serviço do inversor de acordo com a NEMA MG1, Parte 31 e ser isolado de acordo com a Classe H 180 ° C (356 ° F). O motor será capaz de um número ilimitado de arranques por hora.</w:t>
            </w:r>
          </w:p>
          <w:p w14:paraId="6A782A01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1EF066C5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O motor deve estar equipado com 10m de cabo submersível e blindado, incluindo 2 cabos para os sensores.</w:t>
            </w:r>
          </w:p>
          <w:p w14:paraId="07A35775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A vedação da entrada do cabo deve consistir em prensa-cabos cilíndricos de elastómero, sem epóxis, silicones ou outros sistemas de vedação secundários.</w:t>
            </w:r>
          </w:p>
          <w:p w14:paraId="205EC659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6EEC0990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Para ser içado o agitador deverá ter uma pega em aço inoxidável AISI 316</w:t>
            </w:r>
          </w:p>
          <w:p w14:paraId="7037D338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28AEF991" w14:textId="77777777" w:rsidR="008F7221" w:rsidRPr="008F7221" w:rsidRDefault="008F7221" w:rsidP="008F7221">
            <w:pPr>
              <w:keepNext/>
              <w:suppressAutoHyphens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sz w:val="22"/>
                <w:szCs w:val="22"/>
                <w:lang w:val="pt-PT"/>
              </w:rPr>
              <w:t>Engrenagem</w:t>
            </w:r>
          </w:p>
          <w:p w14:paraId="5BA8EAA5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 caixa de engrenagens deve ser do tipo helicoidal de dois estágios, equipada com engrenagens de alta precisão e baixa carga. O </w:t>
            </w:r>
            <w:r w:rsidR="00E603B3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veio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do motor deve ser fornecido com uma engrenagem </w:t>
            </w:r>
            <w:r w:rsidR="00E603B3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motriz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integral. O </w:t>
            </w:r>
            <w:r w:rsidR="00E603B3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veio intermédio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assentará</w:t>
            </w:r>
            <w:r w:rsidR="00E603B3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em dois rolamentos autocompensadores de rolos e conterá uma segunda engrenagem motriz. O </w:t>
            </w:r>
            <w:r w:rsidR="00E603B3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veio do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hélice conterá a segunda engrenagem motriz e </w:t>
            </w:r>
            <w:r w:rsidR="00E603B3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assentará num rolamento de contacto angular de fila única e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num </w:t>
            </w:r>
            <w:r w:rsidR="00E603B3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de fila dupla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de esferas ou de rolos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.</w:t>
            </w:r>
          </w:p>
          <w:p w14:paraId="7A3E93E7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4DBD0E90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Material e revestimento</w:t>
            </w:r>
          </w:p>
          <w:p w14:paraId="68E477B6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Os componentes principais, exceto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suporte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e pás </w:t>
            </w:r>
            <w:r w:rsidR="00E603B3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hélice, devem ser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de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ferro fundido cinzento, ASTM A-48 Classe 35B ou EN1561-GJL250 com superfícies lisas sem bolhas ou outras irregularidades.</w:t>
            </w:r>
          </w:p>
          <w:p w14:paraId="1FD1734F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A espessura total da camada deve ser de pelo menos 350 mícrons. Todas as superfícies de ferro fundido que entrarem em conta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c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to com o líquido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agitado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devem ser protegidas por uma camada de acabamento de tinta oxiranestérica (Duasolid 50) aplicada na fábrica na parte externa do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lastRenderedPageBreak/>
              <w:t>agitador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. Porcas e parafusos devem ser de aço inoxidável AISI 316 ou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superior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.</w:t>
            </w:r>
          </w:p>
          <w:p w14:paraId="414170A5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068B46B5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veio do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hélice será feito de aço inoxidável 1.4057</w:t>
            </w:r>
          </w:p>
          <w:p w14:paraId="28243C49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11298EA5" w14:textId="77777777" w:rsidR="00254DBD" w:rsidRPr="00F83DDA" w:rsidRDefault="00254DBD" w:rsidP="00254DBD">
            <w:pPr>
              <w:keepNext/>
              <w:suppressAutoHyphens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>Hélice</w:t>
            </w:r>
          </w:p>
          <w:p w14:paraId="0252066B" w14:textId="77777777" w:rsidR="00254DBD" w:rsidRPr="008F7221" w:rsidRDefault="005618E0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hélice será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composto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por pás de poliuretano reforçado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fibra de vidro, cada uma delas integrada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com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um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veio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de aço inoxidável para montagem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num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cubo de ferro fundido. Cada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pá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será montada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num rebaixo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na lateral do cubo e mantida no lugar por um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veio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de hélice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chavetado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para resistir às forças de torção. 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veio do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hélice será aparafusado axialmente ao cubo e será usado um sistema de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anilha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de pressão. O formato das pás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do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hélice deve ter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uma conceção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de curvatura para trás e resistente a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obstruções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que começa no cubo sem deixar nenhuma parte do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veio </w:t>
            </w:r>
            <w:r w:rsidR="00254DBD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exposta.</w:t>
            </w:r>
          </w:p>
          <w:p w14:paraId="1FCCEC5F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1394C684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 diâmetro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hélice será: 2500 mm</w:t>
            </w:r>
          </w:p>
          <w:p w14:paraId="4D9083CE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3C1D451C" w14:textId="77777777" w:rsidR="00254DBD" w:rsidRPr="00F83DDA" w:rsidRDefault="00254DBD" w:rsidP="00254DBD">
            <w:pPr>
              <w:keepNext/>
              <w:suppressAutoHyphens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>Rolamentos</w:t>
            </w:r>
          </w:p>
          <w:p w14:paraId="49F123C1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veio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do motor irá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assentar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em dois rolamentos lubrificados permanentemente. O rolamento interno deve ser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de esferas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de ranhura profunda de uma </w:t>
            </w:r>
            <w:r w:rsidR="005618E0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fila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e o rolamento principal deve ser um rolamento autocompensador de rolos.</w:t>
            </w:r>
          </w:p>
          <w:p w14:paraId="42F5821F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5F8DC563" w14:textId="77777777" w:rsidR="00254DBD" w:rsidRPr="00F83DDA" w:rsidRDefault="005618E0" w:rsidP="00254DBD">
            <w:pPr>
              <w:keepNext/>
              <w:suppressAutoHyphens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Vedantes </w:t>
            </w:r>
            <w:r w:rsidR="00254DBD"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>mecânicos</w:t>
            </w:r>
          </w:p>
          <w:p w14:paraId="5CDA56E8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Cada agitador terá uma câmara de óleo para o sistema de vedação do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veio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e uma segunda câmara de óleo separada para a caixa de engrenagens. O dreno de óleo e os bujões de inspeção serão facilmente acessíveis pelo lado de fora. Cada agitador será fornecido com três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vedantes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para separar as diferentes partes do mesmo. A vedação externa do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veio do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hélice deve ser uma vedação mecânica de carboneto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cementado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resistente à corrosão (WCCR). Os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vedantes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irão operar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num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reservatório de óleo que lubrifica hidrodinamicamente as faces do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vedante de maneira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constante. Apenas as faces externas do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vedante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serão expostas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ao meio misto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. A vedação interna do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veio do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hélice deve ser uma vedação de borracha nitrílica que isola a câmara de óleo do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veio do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hélice da câmara de óleo da caixa de engrenagens.</w:t>
            </w:r>
          </w:p>
          <w:p w14:paraId="3F44EA5B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 terceira vedação será uma vedação de borracha Viton montada no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veio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do motor para isolar a câmara de óleo da caixa de engrenagens da carcaça do estator. As vedações não precisarão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nem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de manutenção </w:t>
            </w:r>
            <w:r w:rsidR="0019477E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nem de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ajuste.</w:t>
            </w:r>
          </w:p>
          <w:p w14:paraId="51DF8A5C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07CBDB72" w14:textId="77777777" w:rsidR="00254DBD" w:rsidRPr="00F83DDA" w:rsidRDefault="00254DBD" w:rsidP="00254DBD">
            <w:pPr>
              <w:keepNext/>
              <w:suppressAutoHyphens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>ÓLEO</w:t>
            </w:r>
          </w:p>
          <w:p w14:paraId="32AE46BB" w14:textId="77777777" w:rsidR="00B32B69" w:rsidRPr="008F7221" w:rsidRDefault="00254DBD" w:rsidP="00254DBD">
            <w:pPr>
              <w:keepNext/>
              <w:keepLines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 câmara de óleo será preenchida com um óleo branco medicinal tipo parafina. O óleo não conterá hidrocarbonetos aromáticos e será aprovado pelo FDA 172.878. A câmara de engrenagens será preenchida com óleo de caixa de engrenagens do tipo Mobil 630 ou </w:t>
            </w:r>
            <w:r w:rsidR="007501B9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semelhante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.</w:t>
            </w:r>
          </w:p>
          <w:p w14:paraId="62DC551D" w14:textId="77777777" w:rsidR="00254DBD" w:rsidRPr="008F7221" w:rsidRDefault="00254DBD" w:rsidP="00254DBD">
            <w:pPr>
              <w:keepNext/>
              <w:keepLines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39BA29EE" w14:textId="77777777" w:rsidR="00254DBD" w:rsidRPr="00F83DDA" w:rsidRDefault="00254DBD" w:rsidP="00254DBD">
            <w:pPr>
              <w:keepNext/>
              <w:suppressAutoHyphens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>Teste de fábrica</w:t>
            </w:r>
          </w:p>
          <w:p w14:paraId="35E7549F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O fabricante terá a capacidade de testar a aceitação do </w:t>
            </w:r>
            <w:r w:rsidR="007501B9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agitador em tremos de impulso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e potência de acordo com a ISO 21630: 2007, </w:t>
            </w:r>
            <w:r w:rsidR="007501B9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a pedido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.</w:t>
            </w:r>
          </w:p>
          <w:p w14:paraId="06A62458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2ECCE982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lastRenderedPageBreak/>
              <w:t xml:space="preserve">O fornecedor apresentará um plano de </w:t>
            </w:r>
            <w:r w:rsidR="007501B9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controlo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de montagem de acordo com a ISO 9001, que </w:t>
            </w:r>
            <w:r w:rsidR="007501B9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confirme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a execução dos seguintes testes.</w:t>
            </w:r>
          </w:p>
          <w:p w14:paraId="0626FA25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20570FB8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1. Teste de estanqueidade do </w:t>
            </w:r>
            <w:r w:rsidR="007501B9"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agitador </w:t>
            </w: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montado usando um método de vácuo.</w:t>
            </w:r>
          </w:p>
          <w:p w14:paraId="4702DB1D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2. Teste de funcionamento a seco para estabelecer integridade mecânica e rotação correta.</w:t>
            </w:r>
          </w:p>
          <w:p w14:paraId="539CB622" w14:textId="77777777" w:rsidR="00254DBD" w:rsidRPr="008F7221" w:rsidRDefault="00254DBD" w:rsidP="00254DBD">
            <w:pPr>
              <w:keepNext/>
              <w:suppressAutoHyphens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  <w:p w14:paraId="3E0424F2" w14:textId="77777777" w:rsidR="006A5417" w:rsidRPr="00F83DDA" w:rsidRDefault="00254DBD" w:rsidP="00254DBD">
            <w:pPr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>Modelo: FLYGT SR 4320</w:t>
            </w:r>
            <w:r w:rsidRPr="00F83DDA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</w:t>
            </w:r>
            <w:r w:rsidR="008F7221" w:rsidRPr="00F83DDA">
              <w:rPr>
                <w:rFonts w:ascii="Arial" w:hAnsi="Arial" w:cs="Arial"/>
                <w:bCs/>
                <w:sz w:val="22"/>
                <w:szCs w:val="22"/>
                <w:lang w:val="pt-PT"/>
              </w:rPr>
              <w:t>o</w:t>
            </w:r>
            <w:r w:rsidRPr="00F83DDA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equivalente</w:t>
            </w:r>
          </w:p>
          <w:p w14:paraId="400A35A6" w14:textId="77777777" w:rsidR="00254DBD" w:rsidRPr="00F83DDA" w:rsidRDefault="00254DBD" w:rsidP="00254DBD">
            <w:pPr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62B9040F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lastRenderedPageBreak/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tcW w:w="516" w:type="pct"/>
          </w:tcPr>
          <w:p w14:paraId="6EDD9CB9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  <w:p w14:paraId="46D246EA" w14:textId="77777777" w:rsidR="006A5417" w:rsidRPr="00C53C16" w:rsidRDefault="006A5417" w:rsidP="00AB6A8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</w:p>
        </w:tc>
      </w:tr>
      <w:tr w:rsidR="006A5417" w:rsidRPr="00C53C16" w14:paraId="4D90870C" w14:textId="77777777" w:rsidTr="00A7456D">
        <w:trPr>
          <w:trHeight w:val="2873"/>
          <w:jc w:val="center"/>
        </w:trPr>
        <w:tc>
          <w:tcPr>
            <w:tcW w:w="428" w:type="pct"/>
          </w:tcPr>
          <w:p w14:paraId="2A4957D1" w14:textId="77777777" w:rsidR="006A5417" w:rsidRDefault="006A5417" w:rsidP="002B3483">
            <w:pPr>
              <w:tabs>
                <w:tab w:val="left" w:pos="6480"/>
              </w:tabs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1.02</w:t>
            </w:r>
          </w:p>
        </w:tc>
        <w:tc>
          <w:tcPr>
            <w:tcW w:w="379" w:type="pct"/>
          </w:tcPr>
          <w:p w14:paraId="5ABABC20" w14:textId="77777777" w:rsidR="006A5417" w:rsidRPr="00C53C16" w:rsidRDefault="002275B5" w:rsidP="00E103F3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48CFF13D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Kit de instalação </w:t>
            </w: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>para instalação permanente do agitador submersível.</w:t>
            </w:r>
          </w:p>
          <w:p w14:paraId="6C66944A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 xml:space="preserve">O kit de instalação </w:t>
            </w:r>
            <w:r w:rsidR="00DA4407" w:rsidRPr="008F7221">
              <w:rPr>
                <w:rFonts w:ascii="Arial" w:hAnsi="Arial" w:cs="Arial"/>
                <w:sz w:val="22"/>
                <w:szCs w:val="22"/>
                <w:lang w:val="pt-PT"/>
              </w:rPr>
              <w:t>terá</w:t>
            </w: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>:</w:t>
            </w:r>
          </w:p>
          <w:p w14:paraId="3653C0A3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>1 barra guia independente de tripé 100x100x 4mm para montagem no chão, incluindo parafusos de ancoragem.</w:t>
            </w:r>
          </w:p>
          <w:p w14:paraId="4611FA77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>A barra guia será aplicável para uma profundidade de instalação de até 6m</w:t>
            </w:r>
          </w:p>
          <w:p w14:paraId="3AC28B7C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 xml:space="preserve">A barra guia terá um suporte para o agitador. O agitador não </w:t>
            </w:r>
            <w:r w:rsidR="00F47998" w:rsidRPr="008F7221">
              <w:rPr>
                <w:rFonts w:ascii="Arial" w:hAnsi="Arial" w:cs="Arial"/>
                <w:sz w:val="22"/>
                <w:szCs w:val="22"/>
                <w:lang w:val="pt-PT"/>
              </w:rPr>
              <w:t>deverá</w:t>
            </w: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 xml:space="preserve"> ser suspenso pelo cabo de elevação enquanto estiver em operação.</w:t>
            </w:r>
          </w:p>
          <w:p w14:paraId="546DEF3C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87FACD0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>A barra guia e os chumbadores serão feitos de AISI 316 (1.4571)</w:t>
            </w:r>
          </w:p>
          <w:p w14:paraId="75155D22" w14:textId="77777777" w:rsidR="006A5417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 xml:space="preserve">O fornecedor do agitador </w:t>
            </w:r>
            <w:r w:rsidR="00DA4407" w:rsidRPr="008F7221">
              <w:rPr>
                <w:rFonts w:ascii="Arial" w:hAnsi="Arial" w:cs="Arial"/>
                <w:sz w:val="22"/>
                <w:szCs w:val="22"/>
                <w:lang w:val="pt-PT"/>
              </w:rPr>
              <w:t xml:space="preserve">providenciará </w:t>
            </w:r>
            <w:r w:rsidRPr="008F7221">
              <w:rPr>
                <w:rFonts w:ascii="Arial" w:hAnsi="Arial" w:cs="Arial"/>
                <w:sz w:val="22"/>
                <w:szCs w:val="22"/>
                <w:lang w:val="pt-PT"/>
              </w:rPr>
              <w:t>um desenho de instalação com instruções detalhadas sobre a posição e orientação do agitador.</w:t>
            </w:r>
          </w:p>
          <w:p w14:paraId="4FA2DCAF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35F8FED1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tcW w:w="516" w:type="pct"/>
          </w:tcPr>
          <w:p w14:paraId="2C545837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  <w:p w14:paraId="3AC909FA" w14:textId="77777777" w:rsidR="006A5417" w:rsidRPr="00C53C16" w:rsidRDefault="006A5417" w:rsidP="00AB6A8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</w:p>
        </w:tc>
      </w:tr>
      <w:tr w:rsidR="006A5417" w:rsidRPr="00C53C16" w14:paraId="214986A8" w14:textId="77777777" w:rsidTr="00A7456D">
        <w:trPr>
          <w:trHeight w:val="557"/>
          <w:jc w:val="center"/>
        </w:trPr>
        <w:tc>
          <w:tcPr>
            <w:tcW w:w="428" w:type="pct"/>
          </w:tcPr>
          <w:p w14:paraId="3C99BF49" w14:textId="77777777" w:rsidR="006A5417" w:rsidRDefault="006A5417" w:rsidP="002B3483">
            <w:pPr>
              <w:tabs>
                <w:tab w:val="left" w:pos="6480"/>
              </w:tabs>
              <w:rPr>
                <w:lang w:val="sr-Latn-RS"/>
              </w:rPr>
            </w:pPr>
            <w:r w:rsidRPr="00666452">
              <w:rPr>
                <w:color w:val="FF0000"/>
                <w:lang w:val="sr-Latn-RS"/>
              </w:rPr>
              <w:t>1.02A</w:t>
            </w:r>
          </w:p>
        </w:tc>
        <w:tc>
          <w:tcPr>
            <w:tcW w:w="379" w:type="pct"/>
          </w:tcPr>
          <w:p w14:paraId="714C2AE2" w14:textId="77777777" w:rsidR="006A5417" w:rsidRPr="00C53C16" w:rsidRDefault="002275B5" w:rsidP="00666452">
            <w:pPr>
              <w:rPr>
                <w:rFonts w:ascii="Arial" w:hAnsi="Arial" w:cs="Arial"/>
                <w:b/>
                <w:noProof/>
                <w:color w:val="FF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1216185D" w14:textId="77777777" w:rsidR="0015384C" w:rsidRPr="00F83DDA" w:rsidRDefault="0015384C" w:rsidP="0015384C">
            <w:pPr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noProof/>
                <w:color w:val="FF0000"/>
                <w:sz w:val="22"/>
                <w:szCs w:val="22"/>
                <w:lang w:val="pt-PT"/>
              </w:rPr>
              <w:t xml:space="preserve">Kit de instalação </w:t>
            </w: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>para instalação permanente do agitador submersível.</w:t>
            </w:r>
          </w:p>
          <w:p w14:paraId="74B16FCA" w14:textId="77777777" w:rsidR="0015384C" w:rsidRPr="00F83DDA" w:rsidRDefault="0015384C" w:rsidP="0015384C">
            <w:pPr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 xml:space="preserve">O kit de instalação </w:t>
            </w:r>
            <w:r w:rsidR="00DA4407"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>terá</w:t>
            </w: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>:</w:t>
            </w:r>
          </w:p>
          <w:p w14:paraId="561A8793" w14:textId="77777777" w:rsidR="0015384C" w:rsidRPr="00F83DDA" w:rsidRDefault="0015384C" w:rsidP="0015384C">
            <w:pPr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>1 barra guia independente de tripé 100x100x 4mm para montagem no chão, incluindo parafusos de ancoragem.</w:t>
            </w:r>
          </w:p>
          <w:p w14:paraId="52D00185" w14:textId="77777777" w:rsidR="0015384C" w:rsidRPr="00F83DDA" w:rsidRDefault="0015384C" w:rsidP="0015384C">
            <w:pPr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>A barra guia será aplicável para uma profundidade de instalação de até 6m</w:t>
            </w:r>
          </w:p>
          <w:p w14:paraId="10D73378" w14:textId="77777777" w:rsidR="0015384C" w:rsidRPr="00F83DDA" w:rsidRDefault="0015384C" w:rsidP="0015384C">
            <w:pPr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 xml:space="preserve">A barra guia terá um suporte para o agitador. O agitador não </w:t>
            </w:r>
            <w:r w:rsidR="00DA4407"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 xml:space="preserve">deverá </w:t>
            </w: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>ser suspenso pelo cabo de elevação enquanto estiver em operação.</w:t>
            </w:r>
          </w:p>
          <w:p w14:paraId="2ADE4881" w14:textId="77777777" w:rsidR="0015384C" w:rsidRPr="00F83DDA" w:rsidRDefault="0015384C" w:rsidP="0015384C">
            <w:pPr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</w:pPr>
          </w:p>
          <w:p w14:paraId="2C904266" w14:textId="77777777" w:rsidR="00065AE1" w:rsidRPr="008F7221" w:rsidRDefault="0015384C" w:rsidP="00DA440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 xml:space="preserve">A barra guia e os chumbadores serão feitos de AISI 304 O fornecedor do agitador </w:t>
            </w:r>
            <w:r w:rsidR="00DA4407"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 xml:space="preserve">providenciará </w:t>
            </w:r>
            <w:r w:rsidRPr="00F83DDA">
              <w:rPr>
                <w:rFonts w:ascii="Arial" w:hAnsi="Arial" w:cs="Arial"/>
                <w:bCs/>
                <w:noProof/>
                <w:color w:val="FF0000"/>
                <w:sz w:val="22"/>
                <w:szCs w:val="22"/>
                <w:lang w:val="pt-PT"/>
              </w:rPr>
              <w:t>um desenho de instalação com instruções detalhadas sobre a posição e orientação do agitador.</w:t>
            </w:r>
          </w:p>
        </w:tc>
        <w:tc>
          <w:tcPr>
            <w:tcW w:w="396" w:type="pct"/>
          </w:tcPr>
          <w:p w14:paraId="35500C1C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tcW w:w="516" w:type="pct"/>
          </w:tcPr>
          <w:p w14:paraId="5AED6BD5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  <w:p w14:paraId="614EA62A" w14:textId="77777777" w:rsidR="006A5417" w:rsidRPr="00C53C16" w:rsidRDefault="006A5417" w:rsidP="00AB6A8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</w:p>
        </w:tc>
      </w:tr>
      <w:tr w:rsidR="006A5417" w:rsidRPr="00C53C16" w14:paraId="111761D2" w14:textId="77777777" w:rsidTr="00A7456D">
        <w:trPr>
          <w:trHeight w:val="557"/>
          <w:jc w:val="center"/>
        </w:trPr>
        <w:tc>
          <w:tcPr>
            <w:tcW w:w="428" w:type="pct"/>
          </w:tcPr>
          <w:p w14:paraId="1CBF9601" w14:textId="77777777" w:rsidR="006A5417" w:rsidRDefault="006A5417" w:rsidP="002B3483">
            <w:pPr>
              <w:tabs>
                <w:tab w:val="left" w:pos="6480"/>
              </w:tabs>
              <w:rPr>
                <w:lang w:val="sr-Latn-RS"/>
              </w:rPr>
            </w:pPr>
            <w:r>
              <w:rPr>
                <w:lang w:val="sr-Latn-RS"/>
              </w:rPr>
              <w:t>1.03.</w:t>
            </w:r>
          </w:p>
        </w:tc>
        <w:tc>
          <w:tcPr>
            <w:tcW w:w="379" w:type="pct"/>
          </w:tcPr>
          <w:p w14:paraId="7CEA55F6" w14:textId="77777777" w:rsidR="006A5417" w:rsidRPr="00C53C16" w:rsidRDefault="002275B5" w:rsidP="00666452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44F0C803" w14:textId="77777777" w:rsidR="0015384C" w:rsidRPr="008F7221" w:rsidRDefault="00AE0433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 xml:space="preserve">Turco </w:t>
            </w:r>
            <w:r w:rsidR="0015384C" w:rsidRPr="008F7221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 xml:space="preserve">de elevação móvel </w:t>
            </w:r>
            <w:r w:rsidR="0015384C"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para agitador ou bomba</w:t>
            </w:r>
          </w:p>
          <w:p w14:paraId="6435E87D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Ajustável em termos de alcance e altura, Alcance 650 - 1200 mm,</w:t>
            </w:r>
          </w:p>
          <w:p w14:paraId="0324F59B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Incluindo guincho com suporte e cabo de 15 metros.</w:t>
            </w:r>
          </w:p>
          <w:p w14:paraId="3BEEE7E4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Carga máxima de elevação: 320 kg.</w:t>
            </w:r>
          </w:p>
          <w:p w14:paraId="5742F297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Material:</w:t>
            </w:r>
          </w:p>
          <w:p w14:paraId="3E6176C1" w14:textId="77777777" w:rsidR="0015384C" w:rsidRPr="008F7221" w:rsidRDefault="00AE0433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Turco</w:t>
            </w:r>
            <w:r w:rsidR="0015384C"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: aço inoxidável EN 1.4301 ou AISI 304</w:t>
            </w:r>
          </w:p>
          <w:p w14:paraId="3C15932B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Guincho: aço inoxidável ou alumínio</w:t>
            </w:r>
          </w:p>
          <w:p w14:paraId="22BBB649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Cabo de elevação: aço inoxidável AISI 316</w:t>
            </w:r>
          </w:p>
          <w:p w14:paraId="164CC3F2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</w:p>
          <w:p w14:paraId="1A05E1F3" w14:textId="77777777" w:rsidR="006A5417" w:rsidRPr="00F83DDA" w:rsidRDefault="0015384C" w:rsidP="0015384C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>Modelo: FLYGT SK 320</w:t>
            </w:r>
            <w:r w:rsidRPr="00F83DDA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 xml:space="preserve"> ou equivalente</w:t>
            </w:r>
          </w:p>
          <w:p w14:paraId="6EB9E23E" w14:textId="77777777" w:rsidR="0015384C" w:rsidRPr="00F83DDA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6C2962DA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tcW w:w="516" w:type="pct"/>
          </w:tcPr>
          <w:p w14:paraId="0AC228A1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  <w:p w14:paraId="559D5D76" w14:textId="77777777" w:rsidR="006A5417" w:rsidRPr="00C53C16" w:rsidRDefault="006A5417" w:rsidP="00AB6A8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</w:p>
        </w:tc>
      </w:tr>
      <w:tr w:rsidR="006A5417" w:rsidRPr="00C53C16" w14:paraId="099FED91" w14:textId="77777777" w:rsidTr="00A7456D">
        <w:trPr>
          <w:trHeight w:val="557"/>
          <w:jc w:val="center"/>
        </w:trPr>
        <w:tc>
          <w:tcPr>
            <w:tcW w:w="428" w:type="pct"/>
          </w:tcPr>
          <w:p w14:paraId="4910629F" w14:textId="77777777" w:rsidR="006A5417" w:rsidRDefault="006A5417" w:rsidP="00AB6A89">
            <w:pPr>
              <w:tabs>
                <w:tab w:val="left" w:pos="6480"/>
              </w:tabs>
              <w:rPr>
                <w:lang w:val="sr-Latn-RS"/>
              </w:rPr>
            </w:pPr>
            <w:r w:rsidRPr="00960F5F">
              <w:rPr>
                <w:color w:val="FF0000"/>
                <w:lang w:val="sr-Latn-RS"/>
              </w:rPr>
              <w:t>1.03A</w:t>
            </w:r>
          </w:p>
        </w:tc>
        <w:tc>
          <w:tcPr>
            <w:tcW w:w="379" w:type="pct"/>
          </w:tcPr>
          <w:p w14:paraId="14A4437C" w14:textId="77777777" w:rsidR="006A5417" w:rsidRPr="00C53C16" w:rsidRDefault="002275B5" w:rsidP="00666452">
            <w:pPr>
              <w:rPr>
                <w:rFonts w:ascii="Arial" w:hAnsi="Arial" w:cs="Arial"/>
                <w:b/>
                <w:noProof/>
                <w:color w:val="FF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7CBD97BA" w14:textId="77777777" w:rsidR="0015384C" w:rsidRPr="008F7221" w:rsidRDefault="00AE0433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  <w:t xml:space="preserve">Turco </w:t>
            </w:r>
            <w:r w:rsidR="0015384C" w:rsidRPr="008F7221"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  <w:t xml:space="preserve">de elevação móvel para agitador </w:t>
            </w:r>
            <w:r w:rsidR="0015384C"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ou bomba</w:t>
            </w:r>
          </w:p>
          <w:p w14:paraId="1072B6CE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Ajustável em termos de alcance e altura, alcance 1,6-2,0 m,</w:t>
            </w:r>
          </w:p>
          <w:p w14:paraId="1BDBB69C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Incluindo guincho com suporte e cabo de 15 metros.</w:t>
            </w:r>
          </w:p>
          <w:p w14:paraId="56F933DF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Carga máxima de elevação: 300 kg.</w:t>
            </w:r>
          </w:p>
          <w:p w14:paraId="3147CA81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Material:</w:t>
            </w:r>
          </w:p>
          <w:p w14:paraId="2A307E32" w14:textId="77777777" w:rsidR="0015384C" w:rsidRPr="008F7221" w:rsidRDefault="00AE0433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Turco</w:t>
            </w:r>
            <w:r w:rsidR="0015384C"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: aço inoxidável EN 1.4301 ou AISI 304</w:t>
            </w:r>
          </w:p>
          <w:p w14:paraId="21661B02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lastRenderedPageBreak/>
              <w:t>Guincho: aço inoxidável ou alumínio</w:t>
            </w:r>
          </w:p>
          <w:p w14:paraId="6526E335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Cabo de elevação: aço inoxidável AISI 316</w:t>
            </w:r>
          </w:p>
          <w:p w14:paraId="1FE74D09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</w:pPr>
          </w:p>
          <w:p w14:paraId="07831183" w14:textId="77777777" w:rsidR="00367D35" w:rsidRPr="008F7221" w:rsidRDefault="0015384C" w:rsidP="0015384C">
            <w:pPr>
              <w:rPr>
                <w:rFonts w:ascii="Arial" w:hAnsi="Arial" w:cs="Arial"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  <w:t xml:space="preserve">Modelo: FLYGT SK 300 </w:t>
            </w:r>
            <w:r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ou equivalente</w:t>
            </w:r>
          </w:p>
        </w:tc>
        <w:tc>
          <w:tcPr>
            <w:tcW w:w="396" w:type="pct"/>
          </w:tcPr>
          <w:p w14:paraId="4A438DC1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lastRenderedPageBreak/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tcW w:w="516" w:type="pct"/>
          </w:tcPr>
          <w:p w14:paraId="1CA203AD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  <w:p w14:paraId="0E73C02B" w14:textId="77777777" w:rsidR="006A5417" w:rsidRPr="00C53C16" w:rsidRDefault="006A5417" w:rsidP="00AB6A8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</w:p>
        </w:tc>
      </w:tr>
      <w:tr w:rsidR="006A5417" w:rsidRPr="00C53C16" w14:paraId="6BE9A3BF" w14:textId="77777777" w:rsidTr="00A7456D">
        <w:trPr>
          <w:trHeight w:val="557"/>
          <w:jc w:val="center"/>
        </w:trPr>
        <w:tc>
          <w:tcPr>
            <w:tcW w:w="428" w:type="pct"/>
          </w:tcPr>
          <w:p w14:paraId="57699324" w14:textId="77777777" w:rsidR="006A5417" w:rsidRDefault="006A5417" w:rsidP="00AB6A89">
            <w:pPr>
              <w:tabs>
                <w:tab w:val="left" w:pos="6480"/>
              </w:tabs>
              <w:rPr>
                <w:lang w:val="sr-Latn-RS"/>
              </w:rPr>
            </w:pPr>
            <w:r>
              <w:rPr>
                <w:lang w:val="sr-Latn-RS"/>
              </w:rPr>
              <w:t>1.04</w:t>
            </w:r>
          </w:p>
        </w:tc>
        <w:tc>
          <w:tcPr>
            <w:tcW w:w="379" w:type="pct"/>
          </w:tcPr>
          <w:p w14:paraId="083EA027" w14:textId="77777777" w:rsidR="006A5417" w:rsidRPr="00C53C16" w:rsidRDefault="002275B5" w:rsidP="00AB6A89">
            <w:pPr>
              <w:rPr>
                <w:rFonts w:ascii="Arial" w:hAnsi="Arial" w:cs="Arial"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6592A400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 xml:space="preserve">Dispositivo de </w:t>
            </w:r>
            <w:r w:rsidR="00AE0433" w:rsidRPr="008F7221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 xml:space="preserve">içagem </w:t>
            </w: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com gancho automático</w:t>
            </w:r>
          </w:p>
          <w:p w14:paraId="45AA77CE" w14:textId="77777777" w:rsidR="0015384C" w:rsidRPr="008F7221" w:rsidRDefault="00AE0433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Permitirá ao</w:t>
            </w:r>
            <w:r w:rsidR="0015384C"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 xml:space="preserve"> operador </w:t>
            </w: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pegar</w:t>
            </w:r>
            <w:r w:rsidR="0015384C"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 xml:space="preserve">, </w:t>
            </w: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levantar</w:t>
            </w:r>
            <w:r w:rsidR="0015384C"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 xml:space="preserve">, </w:t>
            </w: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 xml:space="preserve">baixar </w:t>
            </w:r>
            <w:r w:rsidR="0015384C"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 xml:space="preserve">e </w:t>
            </w: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 xml:space="preserve">libertar </w:t>
            </w:r>
            <w:r w:rsidR="0015384C"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o agitador abaixo do nível da água.</w:t>
            </w:r>
          </w:p>
          <w:p w14:paraId="37C2F194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Material: 1.4436 aço inoxidável</w:t>
            </w:r>
          </w:p>
          <w:p w14:paraId="4CBA8924" w14:textId="77777777" w:rsidR="0015384C" w:rsidRPr="008F7221" w:rsidRDefault="0015384C" w:rsidP="001538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</w:p>
          <w:p w14:paraId="2B2C03C5" w14:textId="77777777" w:rsidR="006A5417" w:rsidRPr="008F7221" w:rsidRDefault="0015384C" w:rsidP="0015384C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 xml:space="preserve">Modelo: FLYGT AVR 834126 </w:t>
            </w:r>
            <w:r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ou equivalente</w:t>
            </w:r>
          </w:p>
          <w:p w14:paraId="5299604D" w14:textId="77777777" w:rsidR="0015384C" w:rsidRPr="008F7221" w:rsidRDefault="0015384C" w:rsidP="0015384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61104B9A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tcW w:w="516" w:type="pct"/>
          </w:tcPr>
          <w:p w14:paraId="493146C9" w14:textId="77777777" w:rsidR="006A5417" w:rsidRPr="00C53C16" w:rsidRDefault="006A5417" w:rsidP="00AB6A8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  <w:p w14:paraId="02755FD2" w14:textId="77777777" w:rsidR="006A5417" w:rsidRPr="00C53C16" w:rsidRDefault="006A5417" w:rsidP="00AB6A89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</w:p>
        </w:tc>
      </w:tr>
      <w:tr w:rsidR="006A5417" w:rsidRPr="00C53C16" w14:paraId="599917A3" w14:textId="77777777" w:rsidTr="00A7456D">
        <w:trPr>
          <w:trHeight w:val="557"/>
          <w:jc w:val="center"/>
        </w:trPr>
        <w:tc>
          <w:tcPr>
            <w:tcW w:w="428" w:type="pct"/>
          </w:tcPr>
          <w:p w14:paraId="7D3BD9E3" w14:textId="77777777" w:rsidR="006A5417" w:rsidRDefault="006A5417" w:rsidP="00C53C16">
            <w:pPr>
              <w:tabs>
                <w:tab w:val="left" w:pos="6480"/>
              </w:tabs>
              <w:rPr>
                <w:lang w:val="sr-Latn-RS"/>
              </w:rPr>
            </w:pPr>
            <w:r>
              <w:rPr>
                <w:lang w:val="sr-Latn-RS"/>
              </w:rPr>
              <w:t>1.05</w:t>
            </w:r>
          </w:p>
        </w:tc>
        <w:tc>
          <w:tcPr>
            <w:tcW w:w="379" w:type="pct"/>
          </w:tcPr>
          <w:p w14:paraId="7C22C1D6" w14:textId="77777777" w:rsidR="006A5417" w:rsidRPr="00C53C16" w:rsidRDefault="002275B5" w:rsidP="00C53C16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5C732FFE" w14:textId="77777777" w:rsidR="006A5417" w:rsidRPr="008F7221" w:rsidRDefault="00AE0433" w:rsidP="0096305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>Base de turco de montagem no chão</w:t>
            </w:r>
            <w:r w:rsidR="0015384C" w:rsidRPr="008F7221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 xml:space="preserve">, </w:t>
            </w:r>
            <w:r w:rsidR="0015384C" w:rsidRPr="008F7221">
              <w:rPr>
                <w:rFonts w:ascii="Arial" w:hAnsi="Arial" w:cs="Arial"/>
                <w:bCs/>
                <w:color w:val="000000"/>
                <w:sz w:val="22"/>
                <w:szCs w:val="22"/>
                <w:lang w:val="pt-PT"/>
              </w:rPr>
              <w:t>incluindo parafusos de ancoragem. Material: aço inoxidável AISI 316</w:t>
            </w:r>
          </w:p>
          <w:p w14:paraId="4A0509DA" w14:textId="77777777" w:rsidR="0015384C" w:rsidRPr="00F83DDA" w:rsidRDefault="0015384C" w:rsidP="00963058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3E57BD39" w14:textId="77777777" w:rsidR="006A5417" w:rsidRPr="00C53C16" w:rsidRDefault="006A5417" w:rsidP="00E654D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tcW w:w="516" w:type="pct"/>
          </w:tcPr>
          <w:p w14:paraId="4703030E" w14:textId="77777777" w:rsidR="006A5417" w:rsidRPr="00C53C16" w:rsidRDefault="006A5417" w:rsidP="00E654D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</w:tr>
      <w:tr w:rsidR="006A5417" w:rsidRPr="00C53C16" w14:paraId="0142D4C8" w14:textId="77777777" w:rsidTr="00A7456D">
        <w:trPr>
          <w:trHeight w:val="557"/>
          <w:jc w:val="center"/>
        </w:trPr>
        <w:tc>
          <w:tcPr>
            <w:tcW w:w="428" w:type="pct"/>
          </w:tcPr>
          <w:p w14:paraId="612CA31A" w14:textId="77777777" w:rsidR="006A5417" w:rsidRDefault="006A5417" w:rsidP="00C53C16">
            <w:pPr>
              <w:tabs>
                <w:tab w:val="left" w:pos="6480"/>
              </w:tabs>
              <w:rPr>
                <w:lang w:val="sr-Latn-RS"/>
              </w:rPr>
            </w:pPr>
            <w:r>
              <w:rPr>
                <w:lang w:val="sr-Latn-RS"/>
              </w:rPr>
              <w:t>1.05A</w:t>
            </w:r>
          </w:p>
        </w:tc>
        <w:tc>
          <w:tcPr>
            <w:tcW w:w="379" w:type="pct"/>
          </w:tcPr>
          <w:p w14:paraId="087A02F3" w14:textId="77777777" w:rsidR="006A5417" w:rsidRPr="00C53C16" w:rsidRDefault="002275B5" w:rsidP="00C53C16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3281" w:type="pct"/>
          </w:tcPr>
          <w:p w14:paraId="4BCFEA56" w14:textId="77777777" w:rsidR="006A5417" w:rsidRPr="008F7221" w:rsidRDefault="00AE0433" w:rsidP="00C53C16">
            <w:pPr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  <w:t xml:space="preserve">Base de turco de montagem </w:t>
            </w:r>
            <w:r w:rsidR="0015384C" w:rsidRPr="008F7221"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  <w:t xml:space="preserve">na parede, </w:t>
            </w:r>
            <w:r w:rsidR="0015384C" w:rsidRPr="008F7221">
              <w:rPr>
                <w:rFonts w:ascii="Arial" w:hAnsi="Arial" w:cs="Arial"/>
                <w:bCs/>
                <w:color w:val="FF0000"/>
                <w:sz w:val="22"/>
                <w:szCs w:val="22"/>
                <w:lang w:val="pt-PT"/>
              </w:rPr>
              <w:t>incluindo parafusos de ancoragem. Material: aço inoxidável AISI 316</w:t>
            </w:r>
          </w:p>
          <w:p w14:paraId="025DB8B7" w14:textId="77777777" w:rsidR="0015384C" w:rsidRPr="00F83DDA" w:rsidRDefault="0015384C" w:rsidP="00C53C16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6084054B" w14:textId="77777777" w:rsidR="006A5417" w:rsidRPr="00C53C16" w:rsidRDefault="006A5417" w:rsidP="00E654D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963058">
              <w:rPr>
                <w:rFonts w:ascii="Arial" w:hAnsi="Arial" w:cs="Arial"/>
                <w:color w:val="FF0000"/>
                <w:sz w:val="22"/>
                <w:szCs w:val="22"/>
                <w:lang w:val="sr-Latn-RS"/>
              </w:rPr>
              <w:t>X,</w:t>
            </w:r>
            <w:r w:rsidRPr="00963058">
              <w:rPr>
                <w:rFonts w:ascii="Arial" w:hAnsi="Arial" w:cs="Arial"/>
                <w:sz w:val="22"/>
                <w:szCs w:val="22"/>
                <w:lang w:val="sr-Latn-RS"/>
              </w:rPr>
              <w:t>-</w:t>
            </w:r>
          </w:p>
        </w:tc>
        <w:tc>
          <w:tcPr>
            <w:tcW w:w="516" w:type="pct"/>
          </w:tcPr>
          <w:p w14:paraId="43CBECA8" w14:textId="77777777" w:rsidR="006A5417" w:rsidRPr="00C53C16" w:rsidRDefault="006A5417" w:rsidP="00E654D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963058">
              <w:rPr>
                <w:rFonts w:ascii="Arial" w:hAnsi="Arial" w:cs="Arial"/>
                <w:color w:val="FF0000"/>
                <w:sz w:val="22"/>
                <w:szCs w:val="22"/>
                <w:lang w:val="sr-Latn-RS"/>
              </w:rPr>
              <w:t>X,</w:t>
            </w:r>
            <w:r w:rsidRPr="00963058">
              <w:rPr>
                <w:rFonts w:ascii="Arial" w:hAnsi="Arial" w:cs="Arial"/>
                <w:sz w:val="22"/>
                <w:szCs w:val="22"/>
                <w:lang w:val="sr-Latn-RS"/>
              </w:rPr>
              <w:t>-</w:t>
            </w:r>
          </w:p>
        </w:tc>
      </w:tr>
      <w:tr w:rsidR="006A5417" w:rsidRPr="00C53C16" w14:paraId="7F130F2C" w14:textId="77777777" w:rsidTr="00A7456D">
        <w:trPr>
          <w:trHeight w:val="557"/>
          <w:jc w:val="center"/>
        </w:trPr>
        <w:tc>
          <w:tcPr>
            <w:tcW w:w="428" w:type="pct"/>
          </w:tcPr>
          <w:p w14:paraId="7BE9B7C5" w14:textId="77777777" w:rsidR="006A5417" w:rsidRDefault="006A5417" w:rsidP="00B92977">
            <w:pPr>
              <w:tabs>
                <w:tab w:val="left" w:pos="6480"/>
              </w:tabs>
              <w:rPr>
                <w:lang w:val="sr-Latn-RS"/>
              </w:rPr>
            </w:pPr>
            <w:r>
              <w:rPr>
                <w:lang w:val="sr-Latn-RS"/>
              </w:rPr>
              <w:t>2.01</w:t>
            </w:r>
          </w:p>
        </w:tc>
        <w:tc>
          <w:tcPr>
            <w:tcW w:w="379" w:type="pct"/>
          </w:tcPr>
          <w:p w14:paraId="503C0CD5" w14:textId="77777777" w:rsidR="006A5417" w:rsidRPr="00C53C16" w:rsidRDefault="002275B5" w:rsidP="00C53C16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2AC52DF5" w14:textId="77777777" w:rsidR="0015384C" w:rsidRPr="008F7221" w:rsidRDefault="008D5805" w:rsidP="0015384C">
            <w:pPr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  <w:t>Armário de controlo</w:t>
            </w:r>
            <w:r w:rsidR="0015384C" w:rsidRPr="008F7221"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  <w:t xml:space="preserve"> PLC para Agitador</w:t>
            </w:r>
          </w:p>
          <w:p w14:paraId="6980DD07" w14:textId="77777777" w:rsidR="0015384C" w:rsidRPr="008F7221" w:rsidRDefault="0015384C" w:rsidP="0015384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 xml:space="preserve">O </w:t>
            </w:r>
            <w:r w:rsidR="008D5805"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 xml:space="preserve">armário </w:t>
            </w: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 xml:space="preserve">será feito de plástico reforçado ou aço inoxidável e será preparado para instalação </w:t>
            </w:r>
            <w:r w:rsidR="008D5805"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>numa</w:t>
            </w: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 xml:space="preserve"> parede e será isolado de acordo com a classe de proteção IP 66.</w:t>
            </w:r>
          </w:p>
          <w:p w14:paraId="0FAC4B42" w14:textId="77777777" w:rsidR="0015384C" w:rsidRPr="008F7221" w:rsidRDefault="0015384C" w:rsidP="0015384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</w:p>
          <w:p w14:paraId="5FCFE42A" w14:textId="77777777" w:rsidR="0015384C" w:rsidRPr="008F7221" w:rsidRDefault="008D5805" w:rsidP="0015384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 xml:space="preserve">Deverá </w:t>
            </w:r>
            <w:r w:rsidR="0015384C"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>conter o seguinte equipamento:</w:t>
            </w:r>
          </w:p>
          <w:p w14:paraId="4570FA25" w14:textId="77777777" w:rsidR="0015384C" w:rsidRPr="008F7221" w:rsidRDefault="0015384C" w:rsidP="0015384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>1 botão liga / desliga, que pode ser travado na posição desligada</w:t>
            </w:r>
          </w:p>
          <w:p w14:paraId="1A3943F2" w14:textId="77777777" w:rsidR="0015384C" w:rsidRPr="008F7221" w:rsidRDefault="0015384C" w:rsidP="0015384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>1 gateway de comunicação Mudbus RTU / TCP 4-20mA</w:t>
            </w:r>
          </w:p>
          <w:p w14:paraId="21F060F9" w14:textId="77777777" w:rsidR="0015384C" w:rsidRPr="008F7221" w:rsidRDefault="0015384C" w:rsidP="0015384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 xml:space="preserve">1 </w:t>
            </w:r>
            <w:r w:rsidR="008D5805"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>Maçaneta de operação do painel</w:t>
            </w:r>
          </w:p>
          <w:p w14:paraId="1DC503EE" w14:textId="77777777" w:rsidR="0015384C" w:rsidRPr="008F7221" w:rsidRDefault="0015384C" w:rsidP="0015384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>1 elemento de aquecimento com termostato</w:t>
            </w:r>
          </w:p>
          <w:p w14:paraId="2A348247" w14:textId="77777777" w:rsidR="0015384C" w:rsidRPr="008F7221" w:rsidRDefault="0015384C" w:rsidP="0015384C">
            <w:pPr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>A fonte de alimentação será de 24 V DC</w:t>
            </w:r>
          </w:p>
          <w:p w14:paraId="3B7695D7" w14:textId="77777777" w:rsidR="0015384C" w:rsidRPr="008F7221" w:rsidRDefault="0015384C" w:rsidP="0015384C">
            <w:pPr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</w:pPr>
          </w:p>
          <w:p w14:paraId="4F5F2DD9" w14:textId="77777777" w:rsidR="006A5417" w:rsidRPr="00F83DDA" w:rsidRDefault="0015384C" w:rsidP="0015384C">
            <w:pPr>
              <w:jc w:val="both"/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</w:pPr>
            <w:r w:rsidRPr="008F7221"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  <w:t xml:space="preserve">Modelo: FLYGT FOP </w:t>
            </w:r>
            <w:r w:rsidRPr="00F83DDA"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  <w:t xml:space="preserve">315 </w:t>
            </w:r>
            <w:r w:rsidR="008F7221" w:rsidRPr="00F83DDA"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  <w:t>+ APP 412</w:t>
            </w:r>
            <w:r w:rsidRPr="00F83DDA">
              <w:rPr>
                <w:rStyle w:val="Strong"/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F83DD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pt-PT"/>
              </w:rPr>
              <w:t>ou equivalente</w:t>
            </w:r>
          </w:p>
          <w:p w14:paraId="116EC862" w14:textId="77777777" w:rsidR="0015384C" w:rsidRPr="008F7221" w:rsidRDefault="0015384C" w:rsidP="001538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620A1651" w14:textId="77777777" w:rsidR="006A5417" w:rsidRPr="00C53C16" w:rsidRDefault="006A5417" w:rsidP="00B92977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tcW w:w="516" w:type="pct"/>
          </w:tcPr>
          <w:p w14:paraId="3806FC8A" w14:textId="77777777" w:rsidR="006A5417" w:rsidRPr="00C53C16" w:rsidRDefault="006A5417" w:rsidP="00B92977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  <w:highlight w:val="red"/>
                <w:lang w:val="sr-Latn-CS"/>
              </w:rPr>
            </w:pPr>
            <w:r w:rsidRPr="00C53C16"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  <w:t>X,</w:t>
            </w:r>
            <w:r w:rsidRPr="00C53C16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</w:tr>
      <w:tr w:rsidR="006A5417" w:rsidRPr="006F0B2C" w14:paraId="540BF291" w14:textId="77777777" w:rsidTr="00A7456D">
        <w:trPr>
          <w:trHeight w:val="557"/>
          <w:jc w:val="center"/>
        </w:trPr>
        <w:tc>
          <w:tcPr>
            <w:tcW w:w="428" w:type="pct"/>
          </w:tcPr>
          <w:p w14:paraId="193A1169" w14:textId="77777777" w:rsidR="006A5417" w:rsidRDefault="00963058" w:rsidP="00B92977">
            <w:pPr>
              <w:tabs>
                <w:tab w:val="left" w:pos="6480"/>
              </w:tabs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 w:rsidR="006A5417">
              <w:rPr>
                <w:lang w:val="sr-Latn-RS"/>
              </w:rPr>
              <w:t>.01</w:t>
            </w:r>
          </w:p>
        </w:tc>
        <w:tc>
          <w:tcPr>
            <w:tcW w:w="379" w:type="pct"/>
          </w:tcPr>
          <w:p w14:paraId="63BA9786" w14:textId="77777777" w:rsidR="006A5417" w:rsidRPr="00C53C16" w:rsidRDefault="002275B5" w:rsidP="00B92977">
            <w:pP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0853DA3B" w14:textId="77777777" w:rsidR="0035463B" w:rsidRPr="008F7221" w:rsidRDefault="0015384C" w:rsidP="0035463B">
            <w:pPr>
              <w:rPr>
                <w:rFonts w:ascii="Arial" w:hAnsi="Arial" w:cs="Arial"/>
                <w:color w:val="FF0000"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 xml:space="preserve">Entrega do (s) material (is) descrito (s) de acordo com o incoterm DAP para </w:t>
            </w:r>
            <w:r w:rsidR="0035463B" w:rsidRPr="008F7221"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  <w:t xml:space="preserve">XXXXXXXXXXXXX </w:t>
            </w:r>
          </w:p>
          <w:p w14:paraId="13E7C827" w14:textId="77777777" w:rsidR="006A5417" w:rsidRPr="008F7221" w:rsidRDefault="006A5417" w:rsidP="00B92977">
            <w:pPr>
              <w:rPr>
                <w:rFonts w:ascii="Arial" w:hAnsi="Arial" w:cs="Arial"/>
                <w:b/>
                <w:noProof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3DF634EB" w14:textId="77777777" w:rsidR="006A5417" w:rsidRPr="00AB6A89" w:rsidRDefault="006A5417" w:rsidP="00B92977">
            <w:pPr>
              <w:tabs>
                <w:tab w:val="left" w:pos="6480"/>
              </w:tabs>
              <w:jc w:val="center"/>
              <w:rPr>
                <w:sz w:val="18"/>
                <w:szCs w:val="18"/>
                <w:highlight w:val="red"/>
                <w:lang w:val="sr-Latn-CS"/>
              </w:rPr>
            </w:pPr>
          </w:p>
        </w:tc>
        <w:tc>
          <w:tcPr>
            <w:tcW w:w="516" w:type="pct"/>
          </w:tcPr>
          <w:p w14:paraId="2958F06B" w14:textId="77777777" w:rsidR="006A5417" w:rsidRPr="00AB6A89" w:rsidRDefault="006A5417" w:rsidP="00B92977">
            <w:pPr>
              <w:tabs>
                <w:tab w:val="left" w:pos="6480"/>
              </w:tabs>
              <w:jc w:val="center"/>
              <w:rPr>
                <w:sz w:val="18"/>
                <w:szCs w:val="18"/>
                <w:highlight w:val="red"/>
                <w:lang w:val="sr-Latn-CS"/>
              </w:rPr>
            </w:pPr>
            <w:r w:rsidRPr="00AB6A89">
              <w:rPr>
                <w:color w:val="FF0000"/>
                <w:sz w:val="18"/>
                <w:szCs w:val="18"/>
                <w:lang w:val="de-DE"/>
              </w:rPr>
              <w:t>X,</w:t>
            </w:r>
            <w:r w:rsidRPr="00AB6A89">
              <w:rPr>
                <w:sz w:val="18"/>
                <w:szCs w:val="18"/>
                <w:lang w:val="de-DE"/>
              </w:rPr>
              <w:t>-</w:t>
            </w:r>
          </w:p>
        </w:tc>
      </w:tr>
      <w:tr w:rsidR="006A5417" w:rsidRPr="006F0B2C" w14:paraId="7082227F" w14:textId="77777777" w:rsidTr="00A7456D">
        <w:trPr>
          <w:trHeight w:val="557"/>
          <w:jc w:val="center"/>
        </w:trPr>
        <w:tc>
          <w:tcPr>
            <w:tcW w:w="428" w:type="pct"/>
          </w:tcPr>
          <w:p w14:paraId="69657945" w14:textId="77777777" w:rsidR="006A5417" w:rsidRDefault="00963058" w:rsidP="00B92977">
            <w:pPr>
              <w:tabs>
                <w:tab w:val="left" w:pos="6480"/>
              </w:tabs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 w:rsidR="00BB50FD">
              <w:rPr>
                <w:lang w:val="sr-Latn-RS"/>
              </w:rPr>
              <w:t>.02</w:t>
            </w:r>
          </w:p>
        </w:tc>
        <w:tc>
          <w:tcPr>
            <w:tcW w:w="379" w:type="pct"/>
          </w:tcPr>
          <w:p w14:paraId="74EA28AD" w14:textId="77777777" w:rsidR="006A5417" w:rsidRPr="00C53C16" w:rsidRDefault="002275B5" w:rsidP="00B9297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3281" w:type="pct"/>
          </w:tcPr>
          <w:p w14:paraId="5627622B" w14:textId="77777777" w:rsidR="0015384C" w:rsidRPr="008F7221" w:rsidRDefault="0015384C" w:rsidP="0015384C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/>
                <w:sz w:val="22"/>
                <w:szCs w:val="22"/>
                <w:lang w:val="pt-PT"/>
              </w:rPr>
              <w:t>Instalação dos agitadores e acessórios descritos</w:t>
            </w:r>
          </w:p>
          <w:p w14:paraId="3FEDE60F" w14:textId="77777777" w:rsidR="0015384C" w:rsidRPr="008F7221" w:rsidRDefault="008F7221" w:rsidP="0015384C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>Desde que a estação de instalação seja acessível por camião e que o equipamento de elevação esteja disponível</w:t>
            </w:r>
            <w:r w:rsidRPr="008F7221" w:rsidDel="008F7221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249FB082" w14:textId="77777777" w:rsidR="0035463B" w:rsidRPr="00F83DDA" w:rsidRDefault="0015384C" w:rsidP="0015384C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</w:pPr>
            <w:r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>Local de instalação</w:t>
            </w:r>
            <w:r w:rsidR="0035463B" w:rsidRPr="00F83DDA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: </w:t>
            </w:r>
            <w:r w:rsidR="0035463B" w:rsidRPr="00F83DDA">
              <w:rPr>
                <w:rFonts w:ascii="Arial" w:hAnsi="Arial" w:cs="Arial"/>
                <w:b/>
                <w:color w:val="FF0000"/>
                <w:sz w:val="22"/>
                <w:szCs w:val="22"/>
                <w:lang w:val="pt-PT"/>
              </w:rPr>
              <w:t>XXXXXXXXXXXXXXXXX</w:t>
            </w:r>
          </w:p>
          <w:p w14:paraId="1D4323A6" w14:textId="77777777" w:rsidR="006A5417" w:rsidRPr="00F83DDA" w:rsidRDefault="006A5417" w:rsidP="00B92977">
            <w:pPr>
              <w:rPr>
                <w:rFonts w:ascii="Arial" w:hAnsi="Arial" w:cs="Arial"/>
                <w:b/>
                <w:noProof/>
                <w:sz w:val="22"/>
                <w:szCs w:val="22"/>
                <w:lang w:val="pt-PT"/>
              </w:rPr>
            </w:pPr>
          </w:p>
        </w:tc>
        <w:tc>
          <w:tcPr>
            <w:tcW w:w="396" w:type="pct"/>
          </w:tcPr>
          <w:p w14:paraId="33BB6887" w14:textId="77777777" w:rsidR="006A5417" w:rsidRPr="00AB6A89" w:rsidRDefault="006A5417" w:rsidP="00B92977">
            <w:pPr>
              <w:tabs>
                <w:tab w:val="left" w:pos="6480"/>
              </w:tabs>
              <w:jc w:val="center"/>
              <w:rPr>
                <w:sz w:val="18"/>
                <w:szCs w:val="18"/>
                <w:highlight w:val="red"/>
                <w:lang w:val="sr-Latn-CS"/>
              </w:rPr>
            </w:pPr>
          </w:p>
        </w:tc>
        <w:tc>
          <w:tcPr>
            <w:tcW w:w="516" w:type="pct"/>
          </w:tcPr>
          <w:p w14:paraId="37A5D8FD" w14:textId="77777777" w:rsidR="006A5417" w:rsidRPr="00AB6A89" w:rsidRDefault="006A5417" w:rsidP="00B92977">
            <w:pPr>
              <w:tabs>
                <w:tab w:val="left" w:pos="6480"/>
              </w:tabs>
              <w:jc w:val="center"/>
              <w:rPr>
                <w:sz w:val="18"/>
                <w:szCs w:val="18"/>
                <w:highlight w:val="red"/>
                <w:lang w:val="sr-Latn-CS"/>
              </w:rPr>
            </w:pPr>
            <w:r w:rsidRPr="00AB6A89">
              <w:rPr>
                <w:color w:val="FF0000"/>
                <w:sz w:val="18"/>
                <w:szCs w:val="18"/>
                <w:lang w:val="de-DE"/>
              </w:rPr>
              <w:t>X,</w:t>
            </w:r>
            <w:r w:rsidRPr="00AB6A89">
              <w:rPr>
                <w:sz w:val="18"/>
                <w:szCs w:val="18"/>
                <w:lang w:val="de-DE"/>
              </w:rPr>
              <w:t>-</w:t>
            </w:r>
          </w:p>
        </w:tc>
      </w:tr>
      <w:bookmarkEnd w:id="0"/>
    </w:tbl>
    <w:p w14:paraId="4B725201" w14:textId="77777777" w:rsidR="00E45690" w:rsidRPr="006F0B2C" w:rsidRDefault="00E45690" w:rsidP="00111B22"/>
    <w:p w14:paraId="7BC0D18B" w14:textId="77777777" w:rsidR="005D23DE" w:rsidRPr="006F0B2C" w:rsidRDefault="00E45690" w:rsidP="00E4569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F0B2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F0B2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F0B2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F0B2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F0B2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F0B2C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sectPr w:rsidR="005D23DE" w:rsidRPr="006F0B2C" w:rsidSect="00B64029">
      <w:footerReference w:type="default" r:id="rId10"/>
      <w:pgSz w:w="11909" w:h="16834" w:code="9"/>
      <w:pgMar w:top="567" w:right="567" w:bottom="567" w:left="1134" w:header="720" w:footer="125" w:gutter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901E7" w14:textId="77777777" w:rsidR="00CB6812" w:rsidRDefault="00CB6812" w:rsidP="00337FCA">
      <w:r>
        <w:separator/>
      </w:r>
    </w:p>
  </w:endnote>
  <w:endnote w:type="continuationSeparator" w:id="0">
    <w:p w14:paraId="2076764E" w14:textId="77777777" w:rsidR="00CB6812" w:rsidRDefault="00CB6812" w:rsidP="0033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84B8D" w14:textId="77777777" w:rsidR="003E0985" w:rsidRPr="008132C4" w:rsidRDefault="00720D17">
    <w:pPr>
      <w:pStyle w:val="Footer"/>
      <w:rPr>
        <w:lang w:val="pt-PT"/>
      </w:rPr>
    </w:pPr>
    <w:r w:rsidRPr="008132C4">
      <w:rPr>
        <w:rFonts w:ascii="Helvetica" w:hAnsi="Helvetica" w:cs="Helvetica"/>
        <w:color w:val="FF0000"/>
        <w:sz w:val="16"/>
        <w:szCs w:val="16"/>
        <w:lang w:val="pt-PT"/>
      </w:rPr>
      <w:t>Preencha os dados para XXX e exclua o texto da alternativa que não é aplicável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6F3FF" w14:textId="77777777" w:rsidR="00CB6812" w:rsidRDefault="00CB6812" w:rsidP="00337FCA">
      <w:r>
        <w:separator/>
      </w:r>
    </w:p>
  </w:footnote>
  <w:footnote w:type="continuationSeparator" w:id="0">
    <w:p w14:paraId="5205B72C" w14:textId="77777777" w:rsidR="00CB6812" w:rsidRDefault="00CB6812" w:rsidP="0033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856"/>
    <w:multiLevelType w:val="hybridMultilevel"/>
    <w:tmpl w:val="4FD86904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BE697E"/>
    <w:multiLevelType w:val="hybridMultilevel"/>
    <w:tmpl w:val="BAE8D2E0"/>
    <w:lvl w:ilvl="0" w:tplc="3AB83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15A7"/>
    <w:multiLevelType w:val="hybridMultilevel"/>
    <w:tmpl w:val="D33C22A8"/>
    <w:lvl w:ilvl="0" w:tplc="C64ABD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54D87"/>
    <w:multiLevelType w:val="hybridMultilevel"/>
    <w:tmpl w:val="122699E0"/>
    <w:lvl w:ilvl="0" w:tplc="743A61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E8147E"/>
    <w:multiLevelType w:val="hybridMultilevel"/>
    <w:tmpl w:val="999A3E76"/>
    <w:lvl w:ilvl="0" w:tplc="AC7A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4A53FE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2" w:tplc="081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B961912"/>
    <w:multiLevelType w:val="hybridMultilevel"/>
    <w:tmpl w:val="F0267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0249F8"/>
    <w:multiLevelType w:val="hybridMultilevel"/>
    <w:tmpl w:val="CC160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6C12D9"/>
    <w:multiLevelType w:val="hybridMultilevel"/>
    <w:tmpl w:val="685AB22A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F05B2B"/>
    <w:multiLevelType w:val="hybridMultilevel"/>
    <w:tmpl w:val="A9104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100D69"/>
    <w:multiLevelType w:val="multilevel"/>
    <w:tmpl w:val="8536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5D6361"/>
    <w:multiLevelType w:val="hybridMultilevel"/>
    <w:tmpl w:val="ADCAA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40934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8521D"/>
    <w:multiLevelType w:val="hybridMultilevel"/>
    <w:tmpl w:val="F27E5E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B07B71"/>
    <w:multiLevelType w:val="hybridMultilevel"/>
    <w:tmpl w:val="D0583DFC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6949AA"/>
    <w:multiLevelType w:val="hybridMultilevel"/>
    <w:tmpl w:val="A0100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5D2FAF"/>
    <w:multiLevelType w:val="hybridMultilevel"/>
    <w:tmpl w:val="202A6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82512D"/>
    <w:multiLevelType w:val="hybridMultilevel"/>
    <w:tmpl w:val="03E8412E"/>
    <w:lvl w:ilvl="0" w:tplc="FE66395C">
      <w:start w:val="443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9038D"/>
    <w:multiLevelType w:val="hybridMultilevel"/>
    <w:tmpl w:val="4C5CB8C0"/>
    <w:lvl w:ilvl="0" w:tplc="185AB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233076"/>
    <w:multiLevelType w:val="hybridMultilevel"/>
    <w:tmpl w:val="95DCAF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5177B9B"/>
    <w:multiLevelType w:val="hybridMultilevel"/>
    <w:tmpl w:val="7AAEF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C54464"/>
    <w:multiLevelType w:val="hybridMultilevel"/>
    <w:tmpl w:val="DBB2B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E1BF9"/>
    <w:multiLevelType w:val="hybridMultilevel"/>
    <w:tmpl w:val="8ACC4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CD0169"/>
    <w:multiLevelType w:val="hybridMultilevel"/>
    <w:tmpl w:val="8ABCB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485B8E"/>
    <w:multiLevelType w:val="hybridMultilevel"/>
    <w:tmpl w:val="1AD83F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7385FEB"/>
    <w:multiLevelType w:val="hybridMultilevel"/>
    <w:tmpl w:val="BCB858FC"/>
    <w:lvl w:ilvl="0" w:tplc="1D78E2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0D5619"/>
    <w:multiLevelType w:val="hybridMultilevel"/>
    <w:tmpl w:val="19AC1C0C"/>
    <w:lvl w:ilvl="0" w:tplc="34FC2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43838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F236E"/>
    <w:multiLevelType w:val="hybridMultilevel"/>
    <w:tmpl w:val="F05698D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50535E"/>
    <w:multiLevelType w:val="hybridMultilevel"/>
    <w:tmpl w:val="F70A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786B18"/>
    <w:multiLevelType w:val="hybridMultilevel"/>
    <w:tmpl w:val="906E39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6936AA"/>
    <w:multiLevelType w:val="hybridMultilevel"/>
    <w:tmpl w:val="A7980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45277D"/>
    <w:multiLevelType w:val="hybridMultilevel"/>
    <w:tmpl w:val="BB44C64A"/>
    <w:lvl w:ilvl="0" w:tplc="D0061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CD71C8"/>
    <w:multiLevelType w:val="hybridMultilevel"/>
    <w:tmpl w:val="B686A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6129EF"/>
    <w:multiLevelType w:val="hybridMultilevel"/>
    <w:tmpl w:val="23B43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6D520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E22A6"/>
    <w:multiLevelType w:val="hybridMultilevel"/>
    <w:tmpl w:val="097A06D8"/>
    <w:lvl w:ilvl="0" w:tplc="071C3D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13C03"/>
    <w:multiLevelType w:val="hybridMultilevel"/>
    <w:tmpl w:val="E4D41D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7172CEB"/>
    <w:multiLevelType w:val="hybridMultilevel"/>
    <w:tmpl w:val="BA48E08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697577EF"/>
    <w:multiLevelType w:val="hybridMultilevel"/>
    <w:tmpl w:val="B734B6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4103F"/>
    <w:multiLevelType w:val="hybridMultilevel"/>
    <w:tmpl w:val="D9B69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A6D520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1A4779"/>
    <w:multiLevelType w:val="hybridMultilevel"/>
    <w:tmpl w:val="D7C2B2DE"/>
    <w:lvl w:ilvl="0" w:tplc="A3A68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E4F44"/>
    <w:multiLevelType w:val="hybridMultilevel"/>
    <w:tmpl w:val="48D2191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4EA166D"/>
    <w:multiLevelType w:val="hybridMultilevel"/>
    <w:tmpl w:val="246A57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6EB6129"/>
    <w:multiLevelType w:val="hybridMultilevel"/>
    <w:tmpl w:val="F80C8A3C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1" w15:restartNumberingAfterBreak="0">
    <w:nsid w:val="792A12AF"/>
    <w:multiLevelType w:val="hybridMultilevel"/>
    <w:tmpl w:val="DA50EF3E"/>
    <w:lvl w:ilvl="0" w:tplc="BA5CEC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w w:val="10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AAE29A8"/>
    <w:multiLevelType w:val="hybridMultilevel"/>
    <w:tmpl w:val="8EC46F8E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0"/>
  </w:num>
  <w:num w:numId="3">
    <w:abstractNumId w:val="41"/>
  </w:num>
  <w:num w:numId="4">
    <w:abstractNumId w:val="4"/>
  </w:num>
  <w:num w:numId="5">
    <w:abstractNumId w:val="25"/>
  </w:num>
  <w:num w:numId="6">
    <w:abstractNumId w:val="17"/>
  </w:num>
  <w:num w:numId="7">
    <w:abstractNumId w:val="34"/>
  </w:num>
  <w:num w:numId="8">
    <w:abstractNumId w:val="38"/>
  </w:num>
  <w:num w:numId="9">
    <w:abstractNumId w:val="29"/>
  </w:num>
  <w:num w:numId="10">
    <w:abstractNumId w:val="20"/>
  </w:num>
  <w:num w:numId="11">
    <w:abstractNumId w:val="19"/>
  </w:num>
  <w:num w:numId="12">
    <w:abstractNumId w:val="8"/>
  </w:num>
  <w:num w:numId="13">
    <w:abstractNumId w:val="31"/>
  </w:num>
  <w:num w:numId="14">
    <w:abstractNumId w:val="24"/>
  </w:num>
  <w:num w:numId="15">
    <w:abstractNumId w:val="30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8"/>
  </w:num>
  <w:num w:numId="20">
    <w:abstractNumId w:val="22"/>
  </w:num>
  <w:num w:numId="21">
    <w:abstractNumId w:val="42"/>
  </w:num>
  <w:num w:numId="22">
    <w:abstractNumId w:val="0"/>
  </w:num>
  <w:num w:numId="23">
    <w:abstractNumId w:val="40"/>
  </w:num>
  <w:num w:numId="24">
    <w:abstractNumId w:val="21"/>
  </w:num>
  <w:num w:numId="25">
    <w:abstractNumId w:val="6"/>
  </w:num>
  <w:num w:numId="26">
    <w:abstractNumId w:val="39"/>
  </w:num>
  <w:num w:numId="27">
    <w:abstractNumId w:val="35"/>
  </w:num>
  <w:num w:numId="28">
    <w:abstractNumId w:val="33"/>
  </w:num>
  <w:num w:numId="29">
    <w:abstractNumId w:val="9"/>
  </w:num>
  <w:num w:numId="30">
    <w:abstractNumId w:val="36"/>
  </w:num>
  <w:num w:numId="31">
    <w:abstractNumId w:val="18"/>
  </w:num>
  <w:num w:numId="32">
    <w:abstractNumId w:val="15"/>
  </w:num>
  <w:num w:numId="33">
    <w:abstractNumId w:val="16"/>
  </w:num>
  <w:num w:numId="34">
    <w:abstractNumId w:val="11"/>
  </w:num>
  <w:num w:numId="35">
    <w:abstractNumId w:val="26"/>
  </w:num>
  <w:num w:numId="36">
    <w:abstractNumId w:val="5"/>
  </w:num>
  <w:num w:numId="37">
    <w:abstractNumId w:val="27"/>
  </w:num>
  <w:num w:numId="38">
    <w:abstractNumId w:val="3"/>
  </w:num>
  <w:num w:numId="39">
    <w:abstractNumId w:val="23"/>
  </w:num>
  <w:num w:numId="40">
    <w:abstractNumId w:val="37"/>
  </w:num>
  <w:num w:numId="41">
    <w:abstractNumId w:val="1"/>
  </w:num>
  <w:num w:numId="42">
    <w:abstractNumId w:val="3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6"/>
    <w:rsid w:val="00000CCA"/>
    <w:rsid w:val="00002DC7"/>
    <w:rsid w:val="00004890"/>
    <w:rsid w:val="000067E8"/>
    <w:rsid w:val="000077E8"/>
    <w:rsid w:val="000120AB"/>
    <w:rsid w:val="0001212F"/>
    <w:rsid w:val="00013F6A"/>
    <w:rsid w:val="00020736"/>
    <w:rsid w:val="000247F3"/>
    <w:rsid w:val="0002539E"/>
    <w:rsid w:val="00025628"/>
    <w:rsid w:val="000260C3"/>
    <w:rsid w:val="00026434"/>
    <w:rsid w:val="00027804"/>
    <w:rsid w:val="00027F4D"/>
    <w:rsid w:val="00031AFB"/>
    <w:rsid w:val="00036537"/>
    <w:rsid w:val="000427B3"/>
    <w:rsid w:val="00044795"/>
    <w:rsid w:val="000475F5"/>
    <w:rsid w:val="000518F2"/>
    <w:rsid w:val="00057C6F"/>
    <w:rsid w:val="00060142"/>
    <w:rsid w:val="00060BBB"/>
    <w:rsid w:val="00062497"/>
    <w:rsid w:val="00065AE1"/>
    <w:rsid w:val="00065FAC"/>
    <w:rsid w:val="00071913"/>
    <w:rsid w:val="00071962"/>
    <w:rsid w:val="000719BD"/>
    <w:rsid w:val="00072A2A"/>
    <w:rsid w:val="00075C97"/>
    <w:rsid w:val="0007790D"/>
    <w:rsid w:val="000816AF"/>
    <w:rsid w:val="00082783"/>
    <w:rsid w:val="000902E1"/>
    <w:rsid w:val="00090FD3"/>
    <w:rsid w:val="00091457"/>
    <w:rsid w:val="000934F5"/>
    <w:rsid w:val="0009393D"/>
    <w:rsid w:val="000947EC"/>
    <w:rsid w:val="00096D92"/>
    <w:rsid w:val="00097853"/>
    <w:rsid w:val="000A14B8"/>
    <w:rsid w:val="000A6CCC"/>
    <w:rsid w:val="000A73F1"/>
    <w:rsid w:val="000A7B05"/>
    <w:rsid w:val="000B1A15"/>
    <w:rsid w:val="000C4682"/>
    <w:rsid w:val="000C6CB3"/>
    <w:rsid w:val="000D172A"/>
    <w:rsid w:val="000D2B1A"/>
    <w:rsid w:val="000D4C25"/>
    <w:rsid w:val="000D569B"/>
    <w:rsid w:val="000E6827"/>
    <w:rsid w:val="000F3E6A"/>
    <w:rsid w:val="000F4BFE"/>
    <w:rsid w:val="000F60C6"/>
    <w:rsid w:val="000F61C8"/>
    <w:rsid w:val="00101D5F"/>
    <w:rsid w:val="00107FBC"/>
    <w:rsid w:val="00110574"/>
    <w:rsid w:val="00111B22"/>
    <w:rsid w:val="0012232C"/>
    <w:rsid w:val="00125574"/>
    <w:rsid w:val="0013479B"/>
    <w:rsid w:val="00134B96"/>
    <w:rsid w:val="00150EBA"/>
    <w:rsid w:val="00150F2A"/>
    <w:rsid w:val="001534E7"/>
    <w:rsid w:val="0015384C"/>
    <w:rsid w:val="00156A1F"/>
    <w:rsid w:val="00162F46"/>
    <w:rsid w:val="00163FE7"/>
    <w:rsid w:val="0016555E"/>
    <w:rsid w:val="00167B23"/>
    <w:rsid w:val="00173855"/>
    <w:rsid w:val="00176579"/>
    <w:rsid w:val="00176970"/>
    <w:rsid w:val="0018063F"/>
    <w:rsid w:val="00184A6A"/>
    <w:rsid w:val="00186483"/>
    <w:rsid w:val="00187779"/>
    <w:rsid w:val="00191D69"/>
    <w:rsid w:val="00192526"/>
    <w:rsid w:val="00192B2E"/>
    <w:rsid w:val="0019368E"/>
    <w:rsid w:val="00193E82"/>
    <w:rsid w:val="0019477E"/>
    <w:rsid w:val="0019589E"/>
    <w:rsid w:val="00196E47"/>
    <w:rsid w:val="00197D7A"/>
    <w:rsid w:val="001A1E2D"/>
    <w:rsid w:val="001A34A1"/>
    <w:rsid w:val="001A6495"/>
    <w:rsid w:val="001B24EF"/>
    <w:rsid w:val="001C69A8"/>
    <w:rsid w:val="001C7524"/>
    <w:rsid w:val="001D415C"/>
    <w:rsid w:val="001D52AF"/>
    <w:rsid w:val="001D7725"/>
    <w:rsid w:val="001E4011"/>
    <w:rsid w:val="001E4849"/>
    <w:rsid w:val="001E5FB3"/>
    <w:rsid w:val="001E71CA"/>
    <w:rsid w:val="001F1416"/>
    <w:rsid w:val="001F2020"/>
    <w:rsid w:val="001F6974"/>
    <w:rsid w:val="002024D6"/>
    <w:rsid w:val="00204EE8"/>
    <w:rsid w:val="00206A56"/>
    <w:rsid w:val="00206C76"/>
    <w:rsid w:val="00207B1E"/>
    <w:rsid w:val="00215402"/>
    <w:rsid w:val="00217D82"/>
    <w:rsid w:val="00221886"/>
    <w:rsid w:val="00222B34"/>
    <w:rsid w:val="00224CD6"/>
    <w:rsid w:val="00225088"/>
    <w:rsid w:val="002275B5"/>
    <w:rsid w:val="00227F92"/>
    <w:rsid w:val="00230AEA"/>
    <w:rsid w:val="00230FDD"/>
    <w:rsid w:val="002366C4"/>
    <w:rsid w:val="0024068A"/>
    <w:rsid w:val="00240A90"/>
    <w:rsid w:val="0024108F"/>
    <w:rsid w:val="002429CA"/>
    <w:rsid w:val="00242F43"/>
    <w:rsid w:val="00244DD9"/>
    <w:rsid w:val="002457A5"/>
    <w:rsid w:val="00254DBD"/>
    <w:rsid w:val="002551FC"/>
    <w:rsid w:val="002560E2"/>
    <w:rsid w:val="002646D7"/>
    <w:rsid w:val="00264BAA"/>
    <w:rsid w:val="00265484"/>
    <w:rsid w:val="00270214"/>
    <w:rsid w:val="0027142A"/>
    <w:rsid w:val="002716E8"/>
    <w:rsid w:val="002753C1"/>
    <w:rsid w:val="0028047B"/>
    <w:rsid w:val="00281DFD"/>
    <w:rsid w:val="002829D6"/>
    <w:rsid w:val="00283CD3"/>
    <w:rsid w:val="0028588E"/>
    <w:rsid w:val="002956B0"/>
    <w:rsid w:val="00296B83"/>
    <w:rsid w:val="002A3F8F"/>
    <w:rsid w:val="002A58E0"/>
    <w:rsid w:val="002B3483"/>
    <w:rsid w:val="002B34BE"/>
    <w:rsid w:val="002B42A1"/>
    <w:rsid w:val="002B42B8"/>
    <w:rsid w:val="002B5399"/>
    <w:rsid w:val="002C32F3"/>
    <w:rsid w:val="002C6D55"/>
    <w:rsid w:val="002C781D"/>
    <w:rsid w:val="002C7F41"/>
    <w:rsid w:val="002D18C0"/>
    <w:rsid w:val="002D2047"/>
    <w:rsid w:val="002D2FDA"/>
    <w:rsid w:val="002D66BE"/>
    <w:rsid w:val="002E4C3E"/>
    <w:rsid w:val="002E551A"/>
    <w:rsid w:val="002E7137"/>
    <w:rsid w:val="002E770E"/>
    <w:rsid w:val="002F014A"/>
    <w:rsid w:val="002F16DD"/>
    <w:rsid w:val="002F1D03"/>
    <w:rsid w:val="002F3877"/>
    <w:rsid w:val="002F465A"/>
    <w:rsid w:val="002F4CE6"/>
    <w:rsid w:val="002F5BD8"/>
    <w:rsid w:val="002F6A29"/>
    <w:rsid w:val="002F7C1F"/>
    <w:rsid w:val="002F7CB0"/>
    <w:rsid w:val="00302EC9"/>
    <w:rsid w:val="0030336B"/>
    <w:rsid w:val="00303E1E"/>
    <w:rsid w:val="00306783"/>
    <w:rsid w:val="00311634"/>
    <w:rsid w:val="00313A8B"/>
    <w:rsid w:val="00320D7A"/>
    <w:rsid w:val="00321264"/>
    <w:rsid w:val="00321D26"/>
    <w:rsid w:val="003222D3"/>
    <w:rsid w:val="003236CC"/>
    <w:rsid w:val="00323D69"/>
    <w:rsid w:val="003243E3"/>
    <w:rsid w:val="003305E8"/>
    <w:rsid w:val="003336E2"/>
    <w:rsid w:val="003357C6"/>
    <w:rsid w:val="00336AD0"/>
    <w:rsid w:val="00337FCA"/>
    <w:rsid w:val="0034198E"/>
    <w:rsid w:val="00341AF6"/>
    <w:rsid w:val="0035134A"/>
    <w:rsid w:val="00351937"/>
    <w:rsid w:val="00351CB6"/>
    <w:rsid w:val="0035463B"/>
    <w:rsid w:val="00355D09"/>
    <w:rsid w:val="00367D35"/>
    <w:rsid w:val="00370E9D"/>
    <w:rsid w:val="00375FF7"/>
    <w:rsid w:val="00376AD0"/>
    <w:rsid w:val="003860F6"/>
    <w:rsid w:val="00390332"/>
    <w:rsid w:val="00390F08"/>
    <w:rsid w:val="00393085"/>
    <w:rsid w:val="00393EB7"/>
    <w:rsid w:val="00394FD2"/>
    <w:rsid w:val="003A0131"/>
    <w:rsid w:val="003A0C79"/>
    <w:rsid w:val="003A5CFB"/>
    <w:rsid w:val="003B2BA8"/>
    <w:rsid w:val="003B35B6"/>
    <w:rsid w:val="003B3F62"/>
    <w:rsid w:val="003B640E"/>
    <w:rsid w:val="003C333C"/>
    <w:rsid w:val="003C62A8"/>
    <w:rsid w:val="003D3683"/>
    <w:rsid w:val="003D4E79"/>
    <w:rsid w:val="003D7CD6"/>
    <w:rsid w:val="003D7CF6"/>
    <w:rsid w:val="003E0985"/>
    <w:rsid w:val="003E1E53"/>
    <w:rsid w:val="003E21F5"/>
    <w:rsid w:val="003E3328"/>
    <w:rsid w:val="003E4B10"/>
    <w:rsid w:val="003E5070"/>
    <w:rsid w:val="003F0B87"/>
    <w:rsid w:val="003F55E3"/>
    <w:rsid w:val="003F705C"/>
    <w:rsid w:val="00405731"/>
    <w:rsid w:val="004116A9"/>
    <w:rsid w:val="004139C4"/>
    <w:rsid w:val="00417C5C"/>
    <w:rsid w:val="00422341"/>
    <w:rsid w:val="00422C70"/>
    <w:rsid w:val="0042497F"/>
    <w:rsid w:val="00425367"/>
    <w:rsid w:val="00426B0A"/>
    <w:rsid w:val="00427B07"/>
    <w:rsid w:val="00431455"/>
    <w:rsid w:val="00437982"/>
    <w:rsid w:val="004516C9"/>
    <w:rsid w:val="0046559C"/>
    <w:rsid w:val="004658B1"/>
    <w:rsid w:val="00470AF0"/>
    <w:rsid w:val="0047169A"/>
    <w:rsid w:val="00473E86"/>
    <w:rsid w:val="004744CC"/>
    <w:rsid w:val="00480B56"/>
    <w:rsid w:val="00480B83"/>
    <w:rsid w:val="00484165"/>
    <w:rsid w:val="00484466"/>
    <w:rsid w:val="00485FD1"/>
    <w:rsid w:val="00491CE5"/>
    <w:rsid w:val="004923A8"/>
    <w:rsid w:val="00492EE4"/>
    <w:rsid w:val="00493398"/>
    <w:rsid w:val="00495815"/>
    <w:rsid w:val="00495C03"/>
    <w:rsid w:val="004A28BA"/>
    <w:rsid w:val="004B1D6D"/>
    <w:rsid w:val="004B45CC"/>
    <w:rsid w:val="004B53CC"/>
    <w:rsid w:val="004B6AB8"/>
    <w:rsid w:val="004C0DAE"/>
    <w:rsid w:val="004C10BF"/>
    <w:rsid w:val="004C51E2"/>
    <w:rsid w:val="004C627D"/>
    <w:rsid w:val="004C78AA"/>
    <w:rsid w:val="004D3035"/>
    <w:rsid w:val="004D6EDE"/>
    <w:rsid w:val="004E093D"/>
    <w:rsid w:val="004E3240"/>
    <w:rsid w:val="004E4C43"/>
    <w:rsid w:val="004F2D57"/>
    <w:rsid w:val="004F2E9F"/>
    <w:rsid w:val="00502074"/>
    <w:rsid w:val="00505C3C"/>
    <w:rsid w:val="00506FCA"/>
    <w:rsid w:val="00511B43"/>
    <w:rsid w:val="00513067"/>
    <w:rsid w:val="00513E9F"/>
    <w:rsid w:val="005169F1"/>
    <w:rsid w:val="00520309"/>
    <w:rsid w:val="00521684"/>
    <w:rsid w:val="00521C6E"/>
    <w:rsid w:val="00524089"/>
    <w:rsid w:val="00526275"/>
    <w:rsid w:val="00530C42"/>
    <w:rsid w:val="00536905"/>
    <w:rsid w:val="00537BD2"/>
    <w:rsid w:val="00544060"/>
    <w:rsid w:val="005477B6"/>
    <w:rsid w:val="00547963"/>
    <w:rsid w:val="005537B8"/>
    <w:rsid w:val="00554379"/>
    <w:rsid w:val="005579E4"/>
    <w:rsid w:val="00560079"/>
    <w:rsid w:val="0056076C"/>
    <w:rsid w:val="005618E0"/>
    <w:rsid w:val="00567DD5"/>
    <w:rsid w:val="00572F4E"/>
    <w:rsid w:val="00577317"/>
    <w:rsid w:val="00583B14"/>
    <w:rsid w:val="00586ECA"/>
    <w:rsid w:val="005900E0"/>
    <w:rsid w:val="005915E4"/>
    <w:rsid w:val="00591C89"/>
    <w:rsid w:val="00592A0B"/>
    <w:rsid w:val="005A40FF"/>
    <w:rsid w:val="005A436C"/>
    <w:rsid w:val="005A6EB4"/>
    <w:rsid w:val="005C238A"/>
    <w:rsid w:val="005C4903"/>
    <w:rsid w:val="005C4D2D"/>
    <w:rsid w:val="005C6833"/>
    <w:rsid w:val="005C761B"/>
    <w:rsid w:val="005D23DE"/>
    <w:rsid w:val="005D25DA"/>
    <w:rsid w:val="005D7150"/>
    <w:rsid w:val="005E05A3"/>
    <w:rsid w:val="005E191B"/>
    <w:rsid w:val="005E52D8"/>
    <w:rsid w:val="005E66F9"/>
    <w:rsid w:val="005E7D62"/>
    <w:rsid w:val="00602FFE"/>
    <w:rsid w:val="00606A7F"/>
    <w:rsid w:val="00607F35"/>
    <w:rsid w:val="00610E4F"/>
    <w:rsid w:val="00613F51"/>
    <w:rsid w:val="00620BED"/>
    <w:rsid w:val="00622C5E"/>
    <w:rsid w:val="00624E26"/>
    <w:rsid w:val="00625720"/>
    <w:rsid w:val="00630212"/>
    <w:rsid w:val="00630668"/>
    <w:rsid w:val="006320F5"/>
    <w:rsid w:val="00641C84"/>
    <w:rsid w:val="00643CD9"/>
    <w:rsid w:val="0064495C"/>
    <w:rsid w:val="00644BC9"/>
    <w:rsid w:val="00647DE5"/>
    <w:rsid w:val="0065007F"/>
    <w:rsid w:val="006509DC"/>
    <w:rsid w:val="00650EA6"/>
    <w:rsid w:val="00652D82"/>
    <w:rsid w:val="0065375C"/>
    <w:rsid w:val="00653E59"/>
    <w:rsid w:val="006571C1"/>
    <w:rsid w:val="006625D3"/>
    <w:rsid w:val="0066346D"/>
    <w:rsid w:val="00666452"/>
    <w:rsid w:val="00676957"/>
    <w:rsid w:val="00677C77"/>
    <w:rsid w:val="006811BC"/>
    <w:rsid w:val="006857A1"/>
    <w:rsid w:val="006908C6"/>
    <w:rsid w:val="00692169"/>
    <w:rsid w:val="0069362C"/>
    <w:rsid w:val="006948BC"/>
    <w:rsid w:val="006961BD"/>
    <w:rsid w:val="00696889"/>
    <w:rsid w:val="006A1870"/>
    <w:rsid w:val="006A5417"/>
    <w:rsid w:val="006B1DB9"/>
    <w:rsid w:val="006B375C"/>
    <w:rsid w:val="006B617E"/>
    <w:rsid w:val="006B75D1"/>
    <w:rsid w:val="006C0D78"/>
    <w:rsid w:val="006C5AF9"/>
    <w:rsid w:val="006C63EF"/>
    <w:rsid w:val="006D0B4B"/>
    <w:rsid w:val="006D0EEB"/>
    <w:rsid w:val="006D29A0"/>
    <w:rsid w:val="006D3D70"/>
    <w:rsid w:val="006D460C"/>
    <w:rsid w:val="006E02C7"/>
    <w:rsid w:val="006E0EB1"/>
    <w:rsid w:val="006E30FA"/>
    <w:rsid w:val="006E3B8D"/>
    <w:rsid w:val="006E4DE5"/>
    <w:rsid w:val="006E6E8C"/>
    <w:rsid w:val="006F0ADC"/>
    <w:rsid w:val="006F0B2C"/>
    <w:rsid w:val="006F2600"/>
    <w:rsid w:val="00700F1F"/>
    <w:rsid w:val="007012D1"/>
    <w:rsid w:val="0070279A"/>
    <w:rsid w:val="00703521"/>
    <w:rsid w:val="00703751"/>
    <w:rsid w:val="007151F9"/>
    <w:rsid w:val="00720D17"/>
    <w:rsid w:val="00721D7C"/>
    <w:rsid w:val="0072219C"/>
    <w:rsid w:val="00723F47"/>
    <w:rsid w:val="007242D5"/>
    <w:rsid w:val="00726C45"/>
    <w:rsid w:val="00727F1D"/>
    <w:rsid w:val="00732157"/>
    <w:rsid w:val="007369DF"/>
    <w:rsid w:val="007370E1"/>
    <w:rsid w:val="00741AE5"/>
    <w:rsid w:val="00741CFE"/>
    <w:rsid w:val="00747E6A"/>
    <w:rsid w:val="007501B9"/>
    <w:rsid w:val="00750241"/>
    <w:rsid w:val="007524C1"/>
    <w:rsid w:val="00755ADC"/>
    <w:rsid w:val="0076097D"/>
    <w:rsid w:val="00765F0E"/>
    <w:rsid w:val="00772B85"/>
    <w:rsid w:val="0077600C"/>
    <w:rsid w:val="00781429"/>
    <w:rsid w:val="0078312D"/>
    <w:rsid w:val="007868EA"/>
    <w:rsid w:val="00787189"/>
    <w:rsid w:val="007874AC"/>
    <w:rsid w:val="00790F91"/>
    <w:rsid w:val="007A0BD3"/>
    <w:rsid w:val="007A1C43"/>
    <w:rsid w:val="007A57BF"/>
    <w:rsid w:val="007A7308"/>
    <w:rsid w:val="007A755E"/>
    <w:rsid w:val="007B1265"/>
    <w:rsid w:val="007B4672"/>
    <w:rsid w:val="007B79E4"/>
    <w:rsid w:val="007C6E3D"/>
    <w:rsid w:val="007C76AB"/>
    <w:rsid w:val="007C7ECB"/>
    <w:rsid w:val="007D1910"/>
    <w:rsid w:val="007D4C82"/>
    <w:rsid w:val="007D6B8D"/>
    <w:rsid w:val="00801F11"/>
    <w:rsid w:val="0080416F"/>
    <w:rsid w:val="00812C1C"/>
    <w:rsid w:val="008132C4"/>
    <w:rsid w:val="00814999"/>
    <w:rsid w:val="00816C63"/>
    <w:rsid w:val="00825225"/>
    <w:rsid w:val="00831B0D"/>
    <w:rsid w:val="00832838"/>
    <w:rsid w:val="008465D2"/>
    <w:rsid w:val="0084710E"/>
    <w:rsid w:val="0085061B"/>
    <w:rsid w:val="00852516"/>
    <w:rsid w:val="00853082"/>
    <w:rsid w:val="00856333"/>
    <w:rsid w:val="008638BE"/>
    <w:rsid w:val="0086515E"/>
    <w:rsid w:val="00871DBF"/>
    <w:rsid w:val="00873254"/>
    <w:rsid w:val="00875CC9"/>
    <w:rsid w:val="00876DE3"/>
    <w:rsid w:val="008804E6"/>
    <w:rsid w:val="00880F5C"/>
    <w:rsid w:val="008812F8"/>
    <w:rsid w:val="00890A24"/>
    <w:rsid w:val="00890EFC"/>
    <w:rsid w:val="00892357"/>
    <w:rsid w:val="00893479"/>
    <w:rsid w:val="00893C84"/>
    <w:rsid w:val="00895E67"/>
    <w:rsid w:val="00896BF9"/>
    <w:rsid w:val="008A1AA9"/>
    <w:rsid w:val="008A352F"/>
    <w:rsid w:val="008B2CAB"/>
    <w:rsid w:val="008B3127"/>
    <w:rsid w:val="008B3994"/>
    <w:rsid w:val="008C0586"/>
    <w:rsid w:val="008C0601"/>
    <w:rsid w:val="008C181B"/>
    <w:rsid w:val="008C4A83"/>
    <w:rsid w:val="008D2ECF"/>
    <w:rsid w:val="008D45DF"/>
    <w:rsid w:val="008D5805"/>
    <w:rsid w:val="008E0B2D"/>
    <w:rsid w:val="008E0E8D"/>
    <w:rsid w:val="008E1967"/>
    <w:rsid w:val="008E1C8D"/>
    <w:rsid w:val="008E6F0D"/>
    <w:rsid w:val="008F07FB"/>
    <w:rsid w:val="008F54B1"/>
    <w:rsid w:val="008F698A"/>
    <w:rsid w:val="008F7221"/>
    <w:rsid w:val="00913E71"/>
    <w:rsid w:val="00914DE3"/>
    <w:rsid w:val="009222D3"/>
    <w:rsid w:val="009304B0"/>
    <w:rsid w:val="0094207F"/>
    <w:rsid w:val="0094349E"/>
    <w:rsid w:val="00950A17"/>
    <w:rsid w:val="0095167B"/>
    <w:rsid w:val="00957C0E"/>
    <w:rsid w:val="00960F5F"/>
    <w:rsid w:val="00963058"/>
    <w:rsid w:val="0096535B"/>
    <w:rsid w:val="00965762"/>
    <w:rsid w:val="0097313F"/>
    <w:rsid w:val="00977C16"/>
    <w:rsid w:val="00977D8B"/>
    <w:rsid w:val="00984DD8"/>
    <w:rsid w:val="00987109"/>
    <w:rsid w:val="009876F5"/>
    <w:rsid w:val="009900F2"/>
    <w:rsid w:val="0099020B"/>
    <w:rsid w:val="00990626"/>
    <w:rsid w:val="00992BDC"/>
    <w:rsid w:val="009958DB"/>
    <w:rsid w:val="009964D5"/>
    <w:rsid w:val="009A3425"/>
    <w:rsid w:val="009A76A0"/>
    <w:rsid w:val="009B05DA"/>
    <w:rsid w:val="009B4573"/>
    <w:rsid w:val="009B5397"/>
    <w:rsid w:val="009B5FC8"/>
    <w:rsid w:val="009B7841"/>
    <w:rsid w:val="009C0586"/>
    <w:rsid w:val="009C2D1C"/>
    <w:rsid w:val="009C2E41"/>
    <w:rsid w:val="009D04AE"/>
    <w:rsid w:val="009D1999"/>
    <w:rsid w:val="009E2D29"/>
    <w:rsid w:val="009E3836"/>
    <w:rsid w:val="009E3CC8"/>
    <w:rsid w:val="009E3E56"/>
    <w:rsid w:val="009F2AC7"/>
    <w:rsid w:val="009F3CE9"/>
    <w:rsid w:val="009F42B8"/>
    <w:rsid w:val="009F684F"/>
    <w:rsid w:val="00A0325C"/>
    <w:rsid w:val="00A03E6F"/>
    <w:rsid w:val="00A12C63"/>
    <w:rsid w:val="00A13CF9"/>
    <w:rsid w:val="00A13D30"/>
    <w:rsid w:val="00A1581F"/>
    <w:rsid w:val="00A249E8"/>
    <w:rsid w:val="00A26AF7"/>
    <w:rsid w:val="00A277A2"/>
    <w:rsid w:val="00A31AE2"/>
    <w:rsid w:val="00A342DE"/>
    <w:rsid w:val="00A345B7"/>
    <w:rsid w:val="00A3463E"/>
    <w:rsid w:val="00A35AB3"/>
    <w:rsid w:val="00A36F1E"/>
    <w:rsid w:val="00A4017C"/>
    <w:rsid w:val="00A424B6"/>
    <w:rsid w:val="00A44BB6"/>
    <w:rsid w:val="00A44E60"/>
    <w:rsid w:val="00A575D8"/>
    <w:rsid w:val="00A60333"/>
    <w:rsid w:val="00A606E6"/>
    <w:rsid w:val="00A60D08"/>
    <w:rsid w:val="00A6499D"/>
    <w:rsid w:val="00A70194"/>
    <w:rsid w:val="00A71321"/>
    <w:rsid w:val="00A73BDA"/>
    <w:rsid w:val="00A73CC7"/>
    <w:rsid w:val="00A7456D"/>
    <w:rsid w:val="00A81CCA"/>
    <w:rsid w:val="00A821A9"/>
    <w:rsid w:val="00A8229B"/>
    <w:rsid w:val="00A836B5"/>
    <w:rsid w:val="00A847E5"/>
    <w:rsid w:val="00A85EFD"/>
    <w:rsid w:val="00A91D70"/>
    <w:rsid w:val="00A9693B"/>
    <w:rsid w:val="00A97122"/>
    <w:rsid w:val="00AA2B51"/>
    <w:rsid w:val="00AA2E6B"/>
    <w:rsid w:val="00AA65F3"/>
    <w:rsid w:val="00AB432D"/>
    <w:rsid w:val="00AB6A89"/>
    <w:rsid w:val="00AB7949"/>
    <w:rsid w:val="00AC1456"/>
    <w:rsid w:val="00AD204C"/>
    <w:rsid w:val="00AD2721"/>
    <w:rsid w:val="00AD535C"/>
    <w:rsid w:val="00AD64F3"/>
    <w:rsid w:val="00AD799B"/>
    <w:rsid w:val="00AE02BE"/>
    <w:rsid w:val="00AE0433"/>
    <w:rsid w:val="00AE0B94"/>
    <w:rsid w:val="00AE1832"/>
    <w:rsid w:val="00AE4A4A"/>
    <w:rsid w:val="00AE7340"/>
    <w:rsid w:val="00AF256A"/>
    <w:rsid w:val="00AF2F92"/>
    <w:rsid w:val="00AF4CF2"/>
    <w:rsid w:val="00B0721E"/>
    <w:rsid w:val="00B072A8"/>
    <w:rsid w:val="00B13946"/>
    <w:rsid w:val="00B1469C"/>
    <w:rsid w:val="00B16E7B"/>
    <w:rsid w:val="00B17B9B"/>
    <w:rsid w:val="00B203C8"/>
    <w:rsid w:val="00B22223"/>
    <w:rsid w:val="00B32B69"/>
    <w:rsid w:val="00B403BF"/>
    <w:rsid w:val="00B4440B"/>
    <w:rsid w:val="00B44B31"/>
    <w:rsid w:val="00B4714F"/>
    <w:rsid w:val="00B50CD1"/>
    <w:rsid w:val="00B52F0D"/>
    <w:rsid w:val="00B5478E"/>
    <w:rsid w:val="00B5671E"/>
    <w:rsid w:val="00B56832"/>
    <w:rsid w:val="00B57884"/>
    <w:rsid w:val="00B5795C"/>
    <w:rsid w:val="00B61371"/>
    <w:rsid w:val="00B64029"/>
    <w:rsid w:val="00B651CB"/>
    <w:rsid w:val="00B6527A"/>
    <w:rsid w:val="00B71C11"/>
    <w:rsid w:val="00B74D6D"/>
    <w:rsid w:val="00B77C76"/>
    <w:rsid w:val="00B803E3"/>
    <w:rsid w:val="00B81A0A"/>
    <w:rsid w:val="00B82931"/>
    <w:rsid w:val="00B84C7B"/>
    <w:rsid w:val="00B916AD"/>
    <w:rsid w:val="00B91F0D"/>
    <w:rsid w:val="00B92977"/>
    <w:rsid w:val="00B9329E"/>
    <w:rsid w:val="00B9531A"/>
    <w:rsid w:val="00B9639A"/>
    <w:rsid w:val="00B97063"/>
    <w:rsid w:val="00BA0191"/>
    <w:rsid w:val="00BA120E"/>
    <w:rsid w:val="00BA3735"/>
    <w:rsid w:val="00BB09B5"/>
    <w:rsid w:val="00BB0FDA"/>
    <w:rsid w:val="00BB1697"/>
    <w:rsid w:val="00BB4DE0"/>
    <w:rsid w:val="00BB50FD"/>
    <w:rsid w:val="00BB7FC0"/>
    <w:rsid w:val="00BC0815"/>
    <w:rsid w:val="00BC4F39"/>
    <w:rsid w:val="00BC5F60"/>
    <w:rsid w:val="00BC7CF8"/>
    <w:rsid w:val="00BD0C6C"/>
    <w:rsid w:val="00BD5AF5"/>
    <w:rsid w:val="00BE05D9"/>
    <w:rsid w:val="00BE1F1F"/>
    <w:rsid w:val="00BE74FB"/>
    <w:rsid w:val="00BF2137"/>
    <w:rsid w:val="00BF5A4F"/>
    <w:rsid w:val="00BF743E"/>
    <w:rsid w:val="00C03586"/>
    <w:rsid w:val="00C06C9B"/>
    <w:rsid w:val="00C10123"/>
    <w:rsid w:val="00C12CB4"/>
    <w:rsid w:val="00C14B81"/>
    <w:rsid w:val="00C14EAB"/>
    <w:rsid w:val="00C16596"/>
    <w:rsid w:val="00C21BC0"/>
    <w:rsid w:val="00C2277F"/>
    <w:rsid w:val="00C2393E"/>
    <w:rsid w:val="00C2477E"/>
    <w:rsid w:val="00C31228"/>
    <w:rsid w:val="00C3127D"/>
    <w:rsid w:val="00C35470"/>
    <w:rsid w:val="00C4321B"/>
    <w:rsid w:val="00C4353B"/>
    <w:rsid w:val="00C43CAB"/>
    <w:rsid w:val="00C53C16"/>
    <w:rsid w:val="00C5406C"/>
    <w:rsid w:val="00C566CA"/>
    <w:rsid w:val="00C5711F"/>
    <w:rsid w:val="00C60126"/>
    <w:rsid w:val="00C61EAC"/>
    <w:rsid w:val="00C67CB2"/>
    <w:rsid w:val="00C713D3"/>
    <w:rsid w:val="00C86D82"/>
    <w:rsid w:val="00C91B97"/>
    <w:rsid w:val="00C93313"/>
    <w:rsid w:val="00C9496E"/>
    <w:rsid w:val="00CA1866"/>
    <w:rsid w:val="00CA7CF9"/>
    <w:rsid w:val="00CB0D31"/>
    <w:rsid w:val="00CB22C3"/>
    <w:rsid w:val="00CB2A8D"/>
    <w:rsid w:val="00CB4D3F"/>
    <w:rsid w:val="00CB6812"/>
    <w:rsid w:val="00CB6877"/>
    <w:rsid w:val="00CC0017"/>
    <w:rsid w:val="00CC02F8"/>
    <w:rsid w:val="00CC09B4"/>
    <w:rsid w:val="00CC3989"/>
    <w:rsid w:val="00CC6DC8"/>
    <w:rsid w:val="00CC75F5"/>
    <w:rsid w:val="00CD280F"/>
    <w:rsid w:val="00CD3834"/>
    <w:rsid w:val="00CD3B6A"/>
    <w:rsid w:val="00CE0EAC"/>
    <w:rsid w:val="00CE3700"/>
    <w:rsid w:val="00CE3C45"/>
    <w:rsid w:val="00CE420D"/>
    <w:rsid w:val="00CF4FD0"/>
    <w:rsid w:val="00CF7953"/>
    <w:rsid w:val="00D03A44"/>
    <w:rsid w:val="00D0554F"/>
    <w:rsid w:val="00D165C6"/>
    <w:rsid w:val="00D16C9D"/>
    <w:rsid w:val="00D16FAC"/>
    <w:rsid w:val="00D202CC"/>
    <w:rsid w:val="00D23AAB"/>
    <w:rsid w:val="00D251E8"/>
    <w:rsid w:val="00D309A5"/>
    <w:rsid w:val="00D32DB5"/>
    <w:rsid w:val="00D347FC"/>
    <w:rsid w:val="00D36498"/>
    <w:rsid w:val="00D41865"/>
    <w:rsid w:val="00D42664"/>
    <w:rsid w:val="00D42682"/>
    <w:rsid w:val="00D42EB1"/>
    <w:rsid w:val="00D45933"/>
    <w:rsid w:val="00D45F00"/>
    <w:rsid w:val="00D477C0"/>
    <w:rsid w:val="00D5251C"/>
    <w:rsid w:val="00D53810"/>
    <w:rsid w:val="00D80192"/>
    <w:rsid w:val="00D861CA"/>
    <w:rsid w:val="00D86856"/>
    <w:rsid w:val="00D86E0B"/>
    <w:rsid w:val="00D87B10"/>
    <w:rsid w:val="00D92C04"/>
    <w:rsid w:val="00D92FFF"/>
    <w:rsid w:val="00D977D5"/>
    <w:rsid w:val="00D97896"/>
    <w:rsid w:val="00DA18F9"/>
    <w:rsid w:val="00DA1E48"/>
    <w:rsid w:val="00DA4407"/>
    <w:rsid w:val="00DA6144"/>
    <w:rsid w:val="00DA7452"/>
    <w:rsid w:val="00DB20AA"/>
    <w:rsid w:val="00DB3D34"/>
    <w:rsid w:val="00DB57BA"/>
    <w:rsid w:val="00DC085A"/>
    <w:rsid w:val="00DC112C"/>
    <w:rsid w:val="00DC1E8C"/>
    <w:rsid w:val="00DC2F7F"/>
    <w:rsid w:val="00DC5C71"/>
    <w:rsid w:val="00DC716F"/>
    <w:rsid w:val="00DD00F1"/>
    <w:rsid w:val="00DD010F"/>
    <w:rsid w:val="00DD475E"/>
    <w:rsid w:val="00DD5AAA"/>
    <w:rsid w:val="00DE0EFE"/>
    <w:rsid w:val="00DE1012"/>
    <w:rsid w:val="00DE1537"/>
    <w:rsid w:val="00DE2598"/>
    <w:rsid w:val="00DE612D"/>
    <w:rsid w:val="00DF3D32"/>
    <w:rsid w:val="00DF5E0F"/>
    <w:rsid w:val="00DF6470"/>
    <w:rsid w:val="00E04A84"/>
    <w:rsid w:val="00E103F3"/>
    <w:rsid w:val="00E12A8F"/>
    <w:rsid w:val="00E16E14"/>
    <w:rsid w:val="00E227E2"/>
    <w:rsid w:val="00E22C31"/>
    <w:rsid w:val="00E30880"/>
    <w:rsid w:val="00E33ED4"/>
    <w:rsid w:val="00E3449E"/>
    <w:rsid w:val="00E351B5"/>
    <w:rsid w:val="00E36492"/>
    <w:rsid w:val="00E36517"/>
    <w:rsid w:val="00E37575"/>
    <w:rsid w:val="00E45690"/>
    <w:rsid w:val="00E45E0A"/>
    <w:rsid w:val="00E4694E"/>
    <w:rsid w:val="00E55BF0"/>
    <w:rsid w:val="00E57061"/>
    <w:rsid w:val="00E603B3"/>
    <w:rsid w:val="00E60C9D"/>
    <w:rsid w:val="00E632B5"/>
    <w:rsid w:val="00E653CB"/>
    <w:rsid w:val="00E654D9"/>
    <w:rsid w:val="00E658C4"/>
    <w:rsid w:val="00E67972"/>
    <w:rsid w:val="00E67F91"/>
    <w:rsid w:val="00E7128F"/>
    <w:rsid w:val="00E756E9"/>
    <w:rsid w:val="00E81F29"/>
    <w:rsid w:val="00E836EB"/>
    <w:rsid w:val="00E84173"/>
    <w:rsid w:val="00E873FC"/>
    <w:rsid w:val="00E94E3A"/>
    <w:rsid w:val="00E9673E"/>
    <w:rsid w:val="00EA2BB5"/>
    <w:rsid w:val="00EA3EF9"/>
    <w:rsid w:val="00EA51DA"/>
    <w:rsid w:val="00EA5288"/>
    <w:rsid w:val="00EA73F5"/>
    <w:rsid w:val="00EB1B7A"/>
    <w:rsid w:val="00EC6A31"/>
    <w:rsid w:val="00ED0B29"/>
    <w:rsid w:val="00ED0DFE"/>
    <w:rsid w:val="00ED39EE"/>
    <w:rsid w:val="00ED7037"/>
    <w:rsid w:val="00ED77E2"/>
    <w:rsid w:val="00EE108B"/>
    <w:rsid w:val="00EE57D1"/>
    <w:rsid w:val="00EE6B9C"/>
    <w:rsid w:val="00EE7F03"/>
    <w:rsid w:val="00EF00BB"/>
    <w:rsid w:val="00EF2F14"/>
    <w:rsid w:val="00EF4BD9"/>
    <w:rsid w:val="00EF4F98"/>
    <w:rsid w:val="00EF56D9"/>
    <w:rsid w:val="00F01328"/>
    <w:rsid w:val="00F03F27"/>
    <w:rsid w:val="00F110FD"/>
    <w:rsid w:val="00F1506B"/>
    <w:rsid w:val="00F153F1"/>
    <w:rsid w:val="00F15948"/>
    <w:rsid w:val="00F16A8F"/>
    <w:rsid w:val="00F173E4"/>
    <w:rsid w:val="00F17699"/>
    <w:rsid w:val="00F2217B"/>
    <w:rsid w:val="00F25294"/>
    <w:rsid w:val="00F25298"/>
    <w:rsid w:val="00F2631D"/>
    <w:rsid w:val="00F27CC2"/>
    <w:rsid w:val="00F30AF1"/>
    <w:rsid w:val="00F3176C"/>
    <w:rsid w:val="00F317BC"/>
    <w:rsid w:val="00F319AB"/>
    <w:rsid w:val="00F33047"/>
    <w:rsid w:val="00F3450E"/>
    <w:rsid w:val="00F408BE"/>
    <w:rsid w:val="00F417F1"/>
    <w:rsid w:val="00F433FA"/>
    <w:rsid w:val="00F47998"/>
    <w:rsid w:val="00F556BB"/>
    <w:rsid w:val="00F61146"/>
    <w:rsid w:val="00F61C0E"/>
    <w:rsid w:val="00F64101"/>
    <w:rsid w:val="00F67E50"/>
    <w:rsid w:val="00F70F0C"/>
    <w:rsid w:val="00F72B6B"/>
    <w:rsid w:val="00F74C13"/>
    <w:rsid w:val="00F75A21"/>
    <w:rsid w:val="00F80EAF"/>
    <w:rsid w:val="00F80EE1"/>
    <w:rsid w:val="00F816A4"/>
    <w:rsid w:val="00F816DE"/>
    <w:rsid w:val="00F82A40"/>
    <w:rsid w:val="00F83DDA"/>
    <w:rsid w:val="00F84AD1"/>
    <w:rsid w:val="00F86EA6"/>
    <w:rsid w:val="00F94A34"/>
    <w:rsid w:val="00F94C3A"/>
    <w:rsid w:val="00F94CA0"/>
    <w:rsid w:val="00F95227"/>
    <w:rsid w:val="00F97114"/>
    <w:rsid w:val="00FA02DB"/>
    <w:rsid w:val="00FB1AE1"/>
    <w:rsid w:val="00FB716D"/>
    <w:rsid w:val="00FC196C"/>
    <w:rsid w:val="00FC1AE7"/>
    <w:rsid w:val="00FC1BFD"/>
    <w:rsid w:val="00FC4CDE"/>
    <w:rsid w:val="00FC50AD"/>
    <w:rsid w:val="00FD18BC"/>
    <w:rsid w:val="00FD2F07"/>
    <w:rsid w:val="00FD5825"/>
    <w:rsid w:val="00FD7C3B"/>
    <w:rsid w:val="00FD7EB7"/>
    <w:rsid w:val="00FE18B6"/>
    <w:rsid w:val="00FE6885"/>
    <w:rsid w:val="00FE736A"/>
    <w:rsid w:val="00FF2C2E"/>
    <w:rsid w:val="00FF315E"/>
    <w:rsid w:val="00FF41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F4BFF"/>
  <w15:chartTrackingRefBased/>
  <w15:docId w15:val="{421DA393-070E-4F98-BCE9-E82D742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5F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0A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2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0A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0A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A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A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94A34"/>
    <w:rPr>
      <w:rFonts w:ascii="Cambria" w:hAnsi="Cambria" w:cs="Cambria"/>
      <w:b/>
      <w:bCs/>
      <w:kern w:val="32"/>
      <w:sz w:val="32"/>
      <w:szCs w:val="32"/>
      <w:lang w:val="sr-Cyrl-CS"/>
    </w:rPr>
  </w:style>
  <w:style w:type="character" w:customStyle="1" w:styleId="Heading2Char">
    <w:name w:val="Heading 2 Char"/>
    <w:link w:val="Heading2"/>
    <w:uiPriority w:val="99"/>
    <w:semiHidden/>
    <w:locked/>
    <w:rsid w:val="00F94A34"/>
    <w:rPr>
      <w:rFonts w:ascii="Cambria" w:hAnsi="Cambria" w:cs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link w:val="Heading3"/>
    <w:uiPriority w:val="99"/>
    <w:semiHidden/>
    <w:locked/>
    <w:rsid w:val="00F94A34"/>
    <w:rPr>
      <w:rFonts w:ascii="Cambria" w:hAnsi="Cambria" w:cs="Cambria"/>
      <w:b/>
      <w:bCs/>
      <w:sz w:val="26"/>
      <w:szCs w:val="26"/>
      <w:lang w:val="sr-Cyrl-CS"/>
    </w:rPr>
  </w:style>
  <w:style w:type="character" w:customStyle="1" w:styleId="Heading4Char">
    <w:name w:val="Heading 4 Char"/>
    <w:link w:val="Heading4"/>
    <w:uiPriority w:val="99"/>
    <w:semiHidden/>
    <w:locked/>
    <w:rsid w:val="00F94A34"/>
    <w:rPr>
      <w:rFonts w:ascii="Calibri" w:hAnsi="Calibri" w:cs="Calibri"/>
      <w:b/>
      <w:bCs/>
      <w:sz w:val="28"/>
      <w:szCs w:val="28"/>
      <w:lang w:val="sr-Cyrl-CS"/>
    </w:rPr>
  </w:style>
  <w:style w:type="character" w:customStyle="1" w:styleId="Heading5Char">
    <w:name w:val="Heading 5 Char"/>
    <w:link w:val="Heading5"/>
    <w:uiPriority w:val="99"/>
    <w:semiHidden/>
    <w:locked/>
    <w:rsid w:val="00F94A34"/>
    <w:rPr>
      <w:rFonts w:ascii="Calibri" w:hAnsi="Calibri" w:cs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link w:val="Heading6"/>
    <w:uiPriority w:val="99"/>
    <w:semiHidden/>
    <w:locked/>
    <w:rsid w:val="00F94A34"/>
    <w:rPr>
      <w:rFonts w:ascii="Calibri" w:hAnsi="Calibri" w:cs="Calibri"/>
      <w:b/>
      <w:bCs/>
      <w:lang w:val="sr-Cyrl-CS"/>
    </w:rPr>
  </w:style>
  <w:style w:type="paragraph" w:styleId="Header">
    <w:name w:val="header"/>
    <w:basedOn w:val="Normal"/>
    <w:link w:val="HeaderChar"/>
    <w:uiPriority w:val="99"/>
    <w:rsid w:val="00832838"/>
    <w:pPr>
      <w:tabs>
        <w:tab w:val="center" w:pos="4320"/>
        <w:tab w:val="right" w:pos="8640"/>
      </w:tabs>
    </w:pPr>
    <w:rPr>
      <w:rFonts w:ascii="YuTimes" w:hAnsi="YuTimes" w:cs="YuTimes"/>
      <w:sz w:val="28"/>
      <w:szCs w:val="28"/>
    </w:rPr>
  </w:style>
  <w:style w:type="character" w:customStyle="1" w:styleId="HeaderChar">
    <w:name w:val="Header Char"/>
    <w:link w:val="Header"/>
    <w:uiPriority w:val="99"/>
    <w:semiHidden/>
    <w:locked/>
    <w:rsid w:val="00F94A34"/>
    <w:rPr>
      <w:sz w:val="24"/>
      <w:szCs w:val="24"/>
      <w:lang w:val="sr-Cyrl-CS"/>
    </w:rPr>
  </w:style>
  <w:style w:type="table" w:styleId="TableGrid">
    <w:name w:val="Table Grid"/>
    <w:basedOn w:val="TableNormal"/>
    <w:uiPriority w:val="99"/>
    <w:rsid w:val="0083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470AF0"/>
    <w:rPr>
      <w:spacing w:val="10"/>
    </w:rPr>
  </w:style>
  <w:style w:type="character" w:customStyle="1" w:styleId="BodyTextChar">
    <w:name w:val="Body Text Char"/>
    <w:link w:val="BodyText"/>
    <w:uiPriority w:val="99"/>
    <w:semiHidden/>
    <w:locked/>
    <w:rsid w:val="00F94A34"/>
    <w:rPr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rsid w:val="00470AF0"/>
    <w:pPr>
      <w:spacing w:after="120" w:line="480" w:lineRule="auto"/>
      <w:jc w:val="both"/>
    </w:pPr>
    <w:rPr>
      <w:spacing w:val="10"/>
    </w:rPr>
  </w:style>
  <w:style w:type="character" w:customStyle="1" w:styleId="BodyText2Char">
    <w:name w:val="Body Text 2 Char"/>
    <w:link w:val="BodyText2"/>
    <w:uiPriority w:val="99"/>
    <w:semiHidden/>
    <w:locked/>
    <w:rsid w:val="00F94A34"/>
    <w:rPr>
      <w:sz w:val="24"/>
      <w:szCs w:val="24"/>
      <w:lang w:val="sr-Cyrl-CS"/>
    </w:rPr>
  </w:style>
  <w:style w:type="character" w:styleId="Hyperlink">
    <w:name w:val="Hyperlink"/>
    <w:uiPriority w:val="99"/>
    <w:rsid w:val="00790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9531A"/>
    <w:pPr>
      <w:tabs>
        <w:tab w:val="center" w:pos="4320"/>
        <w:tab w:val="right" w:pos="8640"/>
      </w:tabs>
    </w:pPr>
    <w:rPr>
      <w:rFonts w:ascii="Arial Narrow" w:hAnsi="Arial Narrow" w:cs="Arial Narrow"/>
    </w:rPr>
  </w:style>
  <w:style w:type="character" w:customStyle="1" w:styleId="FooterChar">
    <w:name w:val="Footer Char"/>
    <w:link w:val="Footer"/>
    <w:uiPriority w:val="99"/>
    <w:locked/>
    <w:rsid w:val="00337FCA"/>
    <w:rPr>
      <w:rFonts w:ascii="Arial Narrow" w:hAnsi="Arial Narrow" w:cs="Arial Narrow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5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94A34"/>
    <w:rPr>
      <w:sz w:val="2"/>
      <w:szCs w:val="2"/>
      <w:lang w:val="sr-Cyrl-CS"/>
    </w:rPr>
  </w:style>
  <w:style w:type="paragraph" w:styleId="ListParagraph">
    <w:name w:val="List Paragraph"/>
    <w:basedOn w:val="Normal"/>
    <w:uiPriority w:val="34"/>
    <w:qFormat/>
    <w:rsid w:val="00A424B6"/>
    <w:pPr>
      <w:ind w:left="720"/>
    </w:pPr>
  </w:style>
  <w:style w:type="paragraph" w:styleId="NoSpacing">
    <w:name w:val="No Spacing"/>
    <w:uiPriority w:val="1"/>
    <w:qFormat/>
    <w:rsid w:val="00BB7FC0"/>
    <w:rPr>
      <w:rFonts w:ascii="Calibri" w:hAnsi="Calibri" w:cs="Calibri"/>
      <w:sz w:val="22"/>
      <w:szCs w:val="22"/>
    </w:rPr>
  </w:style>
  <w:style w:type="character" w:customStyle="1" w:styleId="hps">
    <w:name w:val="hps"/>
    <w:rsid w:val="00303E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D69"/>
    <w:rPr>
      <w:rFonts w:ascii="Courier New" w:hAnsi="Courier New" w:cs="Courier New"/>
    </w:rPr>
  </w:style>
  <w:style w:type="character" w:styleId="Strong">
    <w:name w:val="Strong"/>
    <w:uiPriority w:val="22"/>
    <w:qFormat/>
    <w:locked/>
    <w:rsid w:val="00963058"/>
    <w:rPr>
      <w:b/>
      <w:bCs/>
    </w:rPr>
  </w:style>
  <w:style w:type="paragraph" w:customStyle="1" w:styleId="Pa4">
    <w:name w:val="Pa4"/>
    <w:basedOn w:val="Normal"/>
    <w:next w:val="Normal"/>
    <w:rsid w:val="00963058"/>
    <w:pPr>
      <w:autoSpaceDE w:val="0"/>
      <w:autoSpaceDN w:val="0"/>
      <w:adjustRightInd w:val="0"/>
      <w:spacing w:line="241" w:lineRule="atLeast"/>
    </w:pPr>
    <w:rPr>
      <w:rFonts w:ascii="Swis721 BT" w:hAnsi="Swis721 BT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F18C37846574FB644D8FAD43D16B9" ma:contentTypeVersion="15" ma:contentTypeDescription="Create a new document." ma:contentTypeScope="" ma:versionID="008d07af218c5420aea4b01fbd8d64b4">
  <xsd:schema xmlns:xsd="http://www.w3.org/2001/XMLSchema" xmlns:xs="http://www.w3.org/2001/XMLSchema" xmlns:p="http://schemas.microsoft.com/office/2006/metadata/properties" xmlns:ns3="9faec5f6-336f-4b5b-a21a-34a6b2a4b532" xmlns:ns4="c921aff8-c774-4eff-aee9-02035595432c" targetNamespace="http://schemas.microsoft.com/office/2006/metadata/properties" ma:root="true" ma:fieldsID="e065cd1a46d8344eabbd6673afafea14" ns3:_="" ns4:_="">
    <xsd:import namespace="9faec5f6-336f-4b5b-a21a-34a6b2a4b532"/>
    <xsd:import namespace="c921aff8-c774-4eff-aee9-0203559543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ec5f6-336f-4b5b-a21a-34a6b2a4b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1aff8-c774-4eff-aee9-020355954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ec5f6-336f-4b5b-a21a-34a6b2a4b532" xsi:nil="true"/>
  </documentManagement>
</p:properties>
</file>

<file path=customXml/itemProps1.xml><?xml version="1.0" encoding="utf-8"?>
<ds:datastoreItem xmlns:ds="http://schemas.openxmlformats.org/officeDocument/2006/customXml" ds:itemID="{91842AAC-A1BA-4C23-A709-B2CC9AF3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ec5f6-336f-4b5b-a21a-34a6b2a4b532"/>
    <ds:schemaRef ds:uri="c921aff8-c774-4eff-aee9-020355954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16DDF-603B-482D-AA11-118B66F93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09FD0-B7AF-4D57-81DC-D1C2675B024C}">
  <ds:schemaRefs>
    <ds:schemaRef ds:uri="http://schemas.microsoft.com/office/2006/metadata/properties"/>
    <ds:schemaRef ds:uri="http://schemas.microsoft.com/office/infopath/2007/PartnerControls"/>
    <ds:schemaRef ds:uri="9faec5f6-336f-4b5b-a21a-34a6b2a4b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1809</Words>
  <Characters>8864</Characters>
  <Application>Microsoft Office Word</Application>
  <DocSecurity>4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ЈКП „БЕОГРАДСКИ ВОДОВОД</vt:lpstr>
    </vt:vector>
  </TitlesOfParts>
  <Company>JKP BVK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ЈКП „БЕОГРАДСКИ ВОДОВОД</dc:title>
  <dc:subject/>
  <dc:creator>mirko.maksimovic</dc:creator>
  <cp:keywords/>
  <cp:lastModifiedBy>Betts, Krista - Xylem</cp:lastModifiedBy>
  <cp:revision>2</cp:revision>
  <cp:lastPrinted>2014-06-25T06:29:00Z</cp:lastPrinted>
  <dcterms:created xsi:type="dcterms:W3CDTF">2023-01-05T20:41:00Z</dcterms:created>
  <dcterms:modified xsi:type="dcterms:W3CDTF">2023-01-05T20:41:00Z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0x0101000CFF18C37846574FB644D8FAD43D16B9</vt:lpwstr>
  </property>
</Properties>
</file>